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УТВЕРЖДЕН</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постановлением Администрации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Ворошневского сельсовета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Курского района Курской области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_______ 2018г. ______</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АДМИНИСТРАТИВНЫЙ РЕГЛАМЕНТ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предоставления Администрацией Ворошневского сельсовета Курского района Курской области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numPr>
          <w:ilvl w:val="0"/>
          <w:numId w:val="1"/>
        </w:numPr>
        <w:shd w:val="clear" w:color="auto" w:fill="EEEEEE"/>
        <w:suppressAutoHyphens w:val="0"/>
        <w:ind w:left="0"/>
        <w:rPr>
          <w:rFonts w:ascii="Tahoma" w:hAnsi="Tahoma" w:cs="Tahoma"/>
          <w:color w:val="000000"/>
          <w:sz w:val="13"/>
          <w:szCs w:val="13"/>
        </w:rPr>
      </w:pPr>
      <w:r>
        <w:rPr>
          <w:rStyle w:val="a6"/>
          <w:rFonts w:ascii="Tahoma" w:hAnsi="Tahoma" w:cs="Tahoma"/>
          <w:color w:val="000000"/>
          <w:sz w:val="13"/>
          <w:szCs w:val="13"/>
        </w:rPr>
        <w:t>I.                  Общие положения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1.1.         Предмет регулирования  регламента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Административный регламент предоставления Администрацией Ворошневского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1.2.                       Круг заявителей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лица, замещавшие должности муниципальной службы в  Администрации Ворошневского  сельсовета  Курского района Курской области;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лица, замещавшие выборные должности в  Администрации Ворошневского сельсовета Курского района Курской области;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либо их  уполномоченные представители  (далее - заявители).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1.3. Требования к порядку информирования о предоставлении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муниципальной услуги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 заявителей организуется следующим образом: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индивидуальное информирование (устное, письменное);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публичное информирование (средства массовой информации, сеть «Интернет»).</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Индивидуальное устное информирование осуществляется специалистами Администрации Ворошневского сельсовета Курского района Курской области  при обращении заявителей за информацией лично (в том числе по телефону).</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График работы Администрации Ворошневского сельсовета Курского района Курской области, график личного приема заявителей размещается в  информационно - телекоммуникационной сети «Интернет» на официальном сайте Администрации Ворошневского сельсовета Курского района Курской области    и на информационном стенде.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Время индивидуального устного информирования (в том числе по телефону) заявителя не может превышать 10 минут.</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ответах на телефонные звонки и устные обращения специалисты соблюдают  правила служебной этики.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Письменное, индивидуальное информирование осуществляется в письменной форме за подписью Главы Ворошневского сельсовета Курского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Ворошневского сельсовета.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о (об):</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круге заявителей;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сроке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результате предоставления муниципальной услуги, порядок выдачи результата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размере государственной пошлины, взимаемой за предоставление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исчерпывающем  перечне  оснований для приостановления предоставления мунициапльной услуги или отказа в предоставлении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формы заявлений (уведомлений, сообщений), используемые при предоставлении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образцы заполнения электронной формы запроса.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Информация о муниципальной услуге предоставляется бесплатно.</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информационных стендах в помещении, предназначенном для предоставления муниципальной услуги,  размещается следующая информация: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краткое описание порядка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извлечения из настоящего Административного регламента с приложениями (полная версия на официальном сайте Администрации Ворошневского сельсовета Курского района Курская область в информационно-телекоммуникационной сети «Интернет»);</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перечни документов, необходимых для предоставления муниципальной услуги, и требования, предъявляемые  к этим документам;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обжалования решения, действий или бездействия должностных лиц, предоставляющих муниципальную услугу;</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основания для отказа в предоставлении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основания для приостановления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информирования о ходе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получения консультаций;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образцы оформления документов, необходимых для предоставления муниципальной услуги, и требования к ним.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Справочная информация  размещена на  официальном сайте Администрации http:// http://voroshnevo.rkursk.ru,   в  региональной информационной системе «Реестр государственных и муниципальных услуг (функций) Курской области» (далее  – Региональный реестр).</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II. Стандарт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2.1. Наименование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2.2 Наименование органа местного самоуправления, предоставляющего муниципальную услугу</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2.2.1. Муниципальная услуга предоставляется Администрацией Ворошневского сельсовета Курского района Курской области, выполняющая функции   муниципального архива  (далее – Администрация).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2.3. Описание результата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Результатом предоставления муниципальной услуги является: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решение о 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отказ в предоставлении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 принятия решения о предоставления услуги не должен превышать  30  календарных дней со дня подачи заявления и документов.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Срок выдачи результата - не позднее чем через 5 рабочих дней со дня подписания распоряжения о назначении пенсии за выслугу лет или об отказе в ее назначении.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2.5. Нормативные правовые акты, регулирующие предоставление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муниципальной  услуг</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Pr>
            <w:rStyle w:val="a5"/>
            <w:rFonts w:ascii="Tahoma" w:hAnsi="Tahoma" w:cs="Tahoma"/>
            <w:color w:val="33A6E3"/>
            <w:sz w:val="13"/>
            <w:szCs w:val="13"/>
            <w:u w:val="none"/>
          </w:rPr>
          <w:t> http://voroshnevo.rkursk.ru </w:t>
        </w:r>
      </w:hyperlink>
      <w:r>
        <w:rPr>
          <w:rFonts w:ascii="Tahoma" w:hAnsi="Tahoma" w:cs="Tahoma"/>
          <w:color w:val="000000"/>
          <w:sz w:val="13"/>
          <w:szCs w:val="13"/>
        </w:rPr>
        <w:t>в сети «Интернет», а также в Региональном реестре.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2.6.1. Для назначения (перерасчета) пенсии за выслугу лет предоставляются следующие документы:</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w:t>
      </w:r>
      <w:hyperlink r:id="rId8" w:history="1">
        <w:r>
          <w:rPr>
            <w:rStyle w:val="a5"/>
            <w:rFonts w:ascii="Tahoma" w:hAnsi="Tahoma" w:cs="Tahoma"/>
            <w:color w:val="33A6E3"/>
            <w:sz w:val="13"/>
            <w:szCs w:val="13"/>
            <w:u w:val="none"/>
          </w:rPr>
          <w:t>заявление</w:t>
        </w:r>
      </w:hyperlink>
      <w:r>
        <w:rPr>
          <w:rFonts w:ascii="Tahoma" w:hAnsi="Tahoma" w:cs="Tahoma"/>
          <w:color w:val="000000"/>
          <w:sz w:val="13"/>
          <w:szCs w:val="13"/>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копия трудовой книжки;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копия паспорта;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копия военного билета (в случае его наличия).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2.6.2. Заявление может подано:</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в электронной форме,  путем направления электронного документа на официальную электронную почту Администрации.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копия решения об освобождении от должности муниципальной службы Курской области.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Непредставление заявителем указанных документов не является основанием для отказа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предоставлении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2.8. Указание на запрет требовать от заявителя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2.8.1. Не допускается требовать от заявителя: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услуги и не включенных в представленный ранее комплект документов;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государственной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2"/>
        <w:shd w:val="clear" w:color="auto" w:fill="EEEEEE"/>
        <w:spacing w:before="0" w:beforeAutospacing="0" w:after="0" w:afterAutospacing="0"/>
        <w:rPr>
          <w:rFonts w:ascii="Tahoma" w:hAnsi="Tahoma" w:cs="Tahoma"/>
          <w:color w:val="000000"/>
        </w:rPr>
      </w:pPr>
      <w:r>
        <w:rPr>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2.10.1 Основания для приостановления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Выплата пенсии за выслугу лет приостанавливается в период нахождения заявителя на муниципальной службе.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2.10.2 Основания для отказа в предоставлении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несоответствие муниципального служащего области требованиям, предусмотренным: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статьей 8, Закона Курской области от 13.06.2007 N 60-ЗКО (ред. от 27.02.2018) "О муниципальной службе в Курской области" для лиц,   замещавшие должности муниципальной службы;</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hyperlink r:id="rId9" w:history="1">
        <w:r>
          <w:rPr>
            <w:rStyle w:val="a5"/>
            <w:rFonts w:ascii="Tahoma" w:hAnsi="Tahoma" w:cs="Tahoma"/>
            <w:color w:val="33A6E3"/>
            <w:sz w:val="13"/>
            <w:szCs w:val="13"/>
            <w:u w:val="none"/>
          </w:rPr>
          <w:t>абзацем седьмым части 16 статьи 35</w:t>
        </w:r>
      </w:hyperlink>
      <w:r>
        <w:rPr>
          <w:rFonts w:ascii="Tahoma" w:hAnsi="Tahoma" w:cs="Tahoma"/>
          <w:color w:val="000000"/>
          <w:sz w:val="13"/>
          <w:szCs w:val="13"/>
        </w:rPr>
        <w:t>, </w:t>
      </w:r>
      <w:hyperlink r:id="rId10" w:history="1">
        <w:r>
          <w:rPr>
            <w:rStyle w:val="a5"/>
            <w:rFonts w:ascii="Tahoma" w:hAnsi="Tahoma" w:cs="Tahoma"/>
            <w:color w:val="33A6E3"/>
            <w:sz w:val="13"/>
            <w:szCs w:val="13"/>
            <w:u w:val="none"/>
          </w:rPr>
          <w:t>пунктам 2.1</w:t>
        </w:r>
      </w:hyperlink>
      <w:r>
        <w:rPr>
          <w:rFonts w:ascii="Tahoma" w:hAnsi="Tahoma" w:cs="Tahoma"/>
          <w:color w:val="000000"/>
          <w:sz w:val="13"/>
          <w:szCs w:val="13"/>
        </w:rPr>
        <w:t>, </w:t>
      </w:r>
      <w:hyperlink r:id="rId11" w:history="1">
        <w:r>
          <w:rPr>
            <w:rStyle w:val="a5"/>
            <w:rFonts w:ascii="Tahoma" w:hAnsi="Tahoma" w:cs="Tahoma"/>
            <w:color w:val="33A6E3"/>
            <w:sz w:val="13"/>
            <w:szCs w:val="13"/>
            <w:u w:val="none"/>
          </w:rPr>
          <w:t>3</w:t>
        </w:r>
      </w:hyperlink>
      <w:r>
        <w:rPr>
          <w:rFonts w:ascii="Tahoma" w:hAnsi="Tahoma" w:cs="Tahoma"/>
          <w:color w:val="000000"/>
          <w:sz w:val="13"/>
          <w:szCs w:val="13"/>
        </w:rPr>
        <w:t>, </w:t>
      </w:r>
      <w:hyperlink r:id="rId12" w:history="1">
        <w:r>
          <w:rPr>
            <w:rStyle w:val="a5"/>
            <w:rFonts w:ascii="Tahoma" w:hAnsi="Tahoma" w:cs="Tahoma"/>
            <w:color w:val="33A6E3"/>
            <w:sz w:val="13"/>
            <w:szCs w:val="13"/>
            <w:u w:val="none"/>
          </w:rPr>
          <w:t>6</w:t>
        </w:r>
      </w:hyperlink>
      <w:r>
        <w:rPr>
          <w:rFonts w:ascii="Tahoma" w:hAnsi="Tahoma" w:cs="Tahoma"/>
          <w:color w:val="000000"/>
          <w:sz w:val="13"/>
          <w:szCs w:val="13"/>
        </w:rPr>
        <w:t> - </w:t>
      </w:r>
      <w:hyperlink r:id="rId13" w:history="1">
        <w:r>
          <w:rPr>
            <w:rStyle w:val="a5"/>
            <w:rFonts w:ascii="Tahoma" w:hAnsi="Tahoma" w:cs="Tahoma"/>
            <w:color w:val="33A6E3"/>
            <w:sz w:val="13"/>
            <w:szCs w:val="13"/>
            <w:u w:val="none"/>
          </w:rPr>
          <w:t>9 части 6</w:t>
        </w:r>
      </w:hyperlink>
      <w:r>
        <w:rPr>
          <w:rFonts w:ascii="Tahoma" w:hAnsi="Tahoma" w:cs="Tahoma"/>
          <w:color w:val="000000"/>
          <w:sz w:val="13"/>
          <w:szCs w:val="13"/>
        </w:rPr>
        <w:t>, </w:t>
      </w:r>
      <w:hyperlink r:id="rId14" w:history="1">
        <w:r>
          <w:rPr>
            <w:rStyle w:val="a5"/>
            <w:rFonts w:ascii="Tahoma" w:hAnsi="Tahoma" w:cs="Tahoma"/>
            <w:color w:val="33A6E3"/>
            <w:sz w:val="13"/>
            <w:szCs w:val="13"/>
            <w:u w:val="none"/>
          </w:rPr>
          <w:t>части 6.1 статьи 36</w:t>
        </w:r>
      </w:hyperlink>
      <w:r>
        <w:rPr>
          <w:rFonts w:ascii="Tahoma" w:hAnsi="Tahoma" w:cs="Tahoma"/>
          <w:color w:val="000000"/>
          <w:sz w:val="13"/>
          <w:szCs w:val="13"/>
        </w:rPr>
        <w:t>, </w:t>
      </w:r>
      <w:hyperlink r:id="rId15" w:history="1">
        <w:r>
          <w:rPr>
            <w:rStyle w:val="a5"/>
            <w:rFonts w:ascii="Tahoma" w:hAnsi="Tahoma" w:cs="Tahoma"/>
            <w:color w:val="33A6E3"/>
            <w:sz w:val="13"/>
            <w:szCs w:val="13"/>
            <w:u w:val="none"/>
          </w:rPr>
          <w:t>части 7.1</w:t>
        </w:r>
      </w:hyperlink>
      <w:r>
        <w:rPr>
          <w:rFonts w:ascii="Tahoma" w:hAnsi="Tahoma" w:cs="Tahoma"/>
          <w:color w:val="000000"/>
          <w:sz w:val="13"/>
          <w:szCs w:val="13"/>
        </w:rPr>
        <w:t>, </w:t>
      </w:r>
      <w:hyperlink r:id="rId16" w:history="1">
        <w:r>
          <w:rPr>
            <w:rStyle w:val="a5"/>
            <w:rFonts w:ascii="Tahoma" w:hAnsi="Tahoma" w:cs="Tahoma"/>
            <w:color w:val="33A6E3"/>
            <w:sz w:val="13"/>
            <w:szCs w:val="13"/>
            <w:u w:val="none"/>
          </w:rPr>
          <w:t>пунктам 5</w:t>
        </w:r>
      </w:hyperlink>
      <w:r>
        <w:rPr>
          <w:rFonts w:ascii="Tahoma" w:hAnsi="Tahoma" w:cs="Tahoma"/>
          <w:color w:val="000000"/>
          <w:sz w:val="13"/>
          <w:szCs w:val="13"/>
        </w:rPr>
        <w:t> - </w:t>
      </w:r>
      <w:hyperlink r:id="rId17" w:history="1">
        <w:r>
          <w:rPr>
            <w:rStyle w:val="a5"/>
            <w:rFonts w:ascii="Tahoma" w:hAnsi="Tahoma" w:cs="Tahoma"/>
            <w:color w:val="33A6E3"/>
            <w:sz w:val="13"/>
            <w:szCs w:val="13"/>
            <w:u w:val="none"/>
          </w:rPr>
          <w:t>8 части 10</w:t>
        </w:r>
      </w:hyperlink>
      <w:r>
        <w:rPr>
          <w:rFonts w:ascii="Tahoma" w:hAnsi="Tahoma" w:cs="Tahoma"/>
          <w:color w:val="000000"/>
          <w:sz w:val="13"/>
          <w:szCs w:val="13"/>
        </w:rPr>
        <w:t>, </w:t>
      </w:r>
      <w:hyperlink r:id="rId18" w:history="1">
        <w:r>
          <w:rPr>
            <w:rStyle w:val="a5"/>
            <w:rFonts w:ascii="Tahoma" w:hAnsi="Tahoma" w:cs="Tahoma"/>
            <w:color w:val="33A6E3"/>
            <w:sz w:val="13"/>
            <w:szCs w:val="13"/>
            <w:u w:val="none"/>
          </w:rPr>
          <w:t>части 10.1 статьи 40</w:t>
        </w:r>
      </w:hyperlink>
      <w:r>
        <w:rPr>
          <w:rFonts w:ascii="Tahoma" w:hAnsi="Tahoma" w:cs="Tahoma"/>
          <w:color w:val="000000"/>
          <w:sz w:val="13"/>
          <w:szCs w:val="13"/>
        </w:rPr>
        <w:t>, </w:t>
      </w:r>
      <w:hyperlink r:id="rId19" w:history="1">
        <w:r>
          <w:rPr>
            <w:rStyle w:val="a5"/>
            <w:rFonts w:ascii="Tahoma" w:hAnsi="Tahoma" w:cs="Tahoma"/>
            <w:color w:val="33A6E3"/>
            <w:sz w:val="13"/>
            <w:szCs w:val="13"/>
            <w:u w:val="none"/>
          </w:rPr>
          <w:t>части 1</w:t>
        </w:r>
      </w:hyperlink>
      <w:r>
        <w:rPr>
          <w:rFonts w:ascii="Tahoma" w:hAnsi="Tahoma" w:cs="Tahoma"/>
          <w:color w:val="000000"/>
          <w:sz w:val="13"/>
          <w:szCs w:val="13"/>
        </w:rPr>
        <w:t> и </w:t>
      </w:r>
      <w:hyperlink r:id="rId20" w:history="1">
        <w:r>
          <w:rPr>
            <w:rStyle w:val="a5"/>
            <w:rFonts w:ascii="Tahoma" w:hAnsi="Tahoma" w:cs="Tahoma"/>
            <w:color w:val="33A6E3"/>
            <w:sz w:val="13"/>
            <w:szCs w:val="13"/>
            <w:u w:val="none"/>
          </w:rPr>
          <w:t>2 статьи 73</w:t>
        </w:r>
      </w:hyperlink>
      <w:r>
        <w:rPr>
          <w:rFonts w:ascii="Tahoma" w:hAnsi="Tahoma" w:cs="Tahoma"/>
          <w:color w:val="000000"/>
          <w:sz w:val="13"/>
          <w:szCs w:val="13"/>
        </w:rPr>
        <w:t> Федерального закона от 6 октября 2003 года N 131-ФЗ "Об общих принципах организации местного самоуправления в Российской Федерации", для лиц, замещавшие выборные должности;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недостоверность сведений, содержащихся в заявлении и (или) документах, предусмотренных </w:t>
      </w:r>
      <w:hyperlink r:id="rId21" w:history="1">
        <w:r>
          <w:rPr>
            <w:rStyle w:val="a5"/>
            <w:rFonts w:ascii="Tahoma" w:hAnsi="Tahoma" w:cs="Tahoma"/>
            <w:color w:val="33A6E3"/>
            <w:sz w:val="13"/>
            <w:szCs w:val="13"/>
            <w:u w:val="none"/>
          </w:rPr>
          <w:t>2.6.1</w:t>
        </w:r>
      </w:hyperlink>
      <w:r>
        <w:rPr>
          <w:rFonts w:ascii="Tahoma" w:hAnsi="Tahoma" w:cs="Tahoma"/>
          <w:color w:val="000000"/>
          <w:sz w:val="13"/>
          <w:szCs w:val="13"/>
        </w:rPr>
        <w:t> настоящего административного регламента.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2.12. Порядок, размер и основания взимания государственной пошлины или иной платы, взимаемой за предоставление муниципальной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услуга предоставляется без взимания государственной пошлины или иной платы.</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2.13.</w:t>
      </w:r>
      <w:r>
        <w:rPr>
          <w:rFonts w:ascii="Tahoma" w:hAnsi="Tahoma" w:cs="Tahoma"/>
          <w:color w:val="000000"/>
          <w:sz w:val="13"/>
          <w:szCs w:val="13"/>
        </w:rPr>
        <w:t> </w:t>
      </w:r>
      <w:r>
        <w:rPr>
          <w:rStyle w:val="a6"/>
          <w:rFonts w:ascii="Tahoma" w:hAnsi="Tahoma" w:cs="Tahoma"/>
          <w:color w:val="000000"/>
          <w:sz w:val="13"/>
          <w:szCs w:val="13"/>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2.15.1. При непосредственном обращении заявителя лично, максимальный срок регистрации заявления – 15 минут.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2.15.3.Специалист, ответственный за прием документов: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проверяет документы на соответствие п.2.6. настоящего административного регламента;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 необходимости оказывает помощь заявителю в оформлении заявления;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 необходимости заверяет  копии документов;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регистрирует заявление с прилагаемыми документами;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сообщает заявителю о сроке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2.16. Требования к помещениям, в которых предоставляются муниципальная услуга,</w:t>
      </w:r>
      <w:r>
        <w:rPr>
          <w:rFonts w:ascii="Tahoma" w:hAnsi="Tahoma" w:cs="Tahoma"/>
          <w:color w:val="000000"/>
          <w:sz w:val="13"/>
          <w:szCs w:val="13"/>
        </w:rPr>
        <w:t> </w:t>
      </w:r>
      <w:r>
        <w:rPr>
          <w:rStyle w:val="a6"/>
          <w:rFonts w:ascii="Tahoma" w:hAnsi="Tahoma" w:cs="Tahoma"/>
          <w:color w:val="000000"/>
          <w:sz w:val="13"/>
          <w:szCs w:val="13"/>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Места ожидания и приема заявителей оборудуются стульями и (или) кресельными секциями, и (или) скамьями.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Обеспечение доступности для инвалидов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возможность беспрепятственного входа в помещение  и выхода из него;</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сопровождение инвалидов, имеющих стойкие расстройства функции зрения и самостоятельного передвижения, и оказание им помощи;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содействие со стороны должностных лиц, при необходимости, инвалиду при входе в объект и выходе из него;</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оборудование на прилегающих к зданию территориях мест для парковки автотранспортных средств инвалидов;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сопровождение инвалидов, имеющих стойкие расстройства функции зрения и самостоятельного передвижения, по территории объекта;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инструктажа должностных лиц, осуществляющих первичный контакт с получателями услуги, по вопросам работы с инвалидами;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допуск в помещение сурдопереводчика и тифлосурдопереводчика;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предоставление, при необходимости, услуги по месту жительства инвалида или в дистанционном режиме;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Показатели доступности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транспортная или пешая доступность к местам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доступность обращения за предоставлением муниципальной услуги, в том числе для лиц с ограниченными возможностями здоровья;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предоставление возможности получения муниципальной услуги в электронном виде;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предоставление муниципальной услуги в многофункциональном центре предоставления государственных и муниципальных услуг.</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Показателями доступности предоставления муниципальной услуги в  электронной форме являются: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получение информации о порядке и сроках предоставления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формирование запроса;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прием и регистрация органом (организацией) запроса и иных документов, необходимых для предоставления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получение результата предоставления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получение сведений о ходе выполнения запроса;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Показатели качества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полнота и актуальность информации о порядке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фактов  взаимодействия заявителя с должностными лицами при предоставлении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отсутствие очередей при приеме и выдаче документов заявителям;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отсутствием обоснованных жалоб на действия (бездействие) специалистов и уполномоченных должностных лиц;</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отсутствие  жалоб на некорректное, невнимательное отношение специалистов и уполномоченных должностных лиц к заявителям.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форме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2.18.2.</w:t>
      </w:r>
      <w:r>
        <w:rPr>
          <w:rStyle w:val="a6"/>
          <w:rFonts w:ascii="Tahoma" w:hAnsi="Tahoma" w:cs="Tahoma"/>
          <w:color w:val="000000"/>
          <w:sz w:val="13"/>
          <w:szCs w:val="13"/>
        </w:rPr>
        <w:t> </w:t>
      </w:r>
      <w:r>
        <w:rPr>
          <w:rFonts w:ascii="Tahoma" w:hAnsi="Tahoma" w:cs="Tahoma"/>
          <w:color w:val="000000"/>
          <w:sz w:val="13"/>
          <w:szCs w:val="13"/>
        </w:rPr>
        <w:t>Муниципальная услуга в электронной форме в настоящее время не предоставляется.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Исчерпывающий перечень административных процедур:</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прием и регистрация заявления и  документов, необходимых для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рассмотрение материалов, необходимых для предоставления муниципальной услуги, и принятие решения;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организация выплаты пенсии за выслугу лет (доплаты к трудовой пенсии).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Последовательность муниципальной услуги отражена в блок-схеме согласно Приложению №  2 к настоящему Административному регламенту.</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3.1. Прием и регистрация заявления и  документов, необходимых для предоставления муниципальной услуги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3.1.1. Основанием для начала административной процедуры является обращение заявителя в кадровую службу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3.1.3. Заявитель также имеет право направить заявление и документы по почте (электронной почте).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3.1.4. Специалист Администрации  (далее - ответственный исполнитель):</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сличает подлинники документов с их копиями;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3.1.5. Срок выполнения административной  процедуры – 1 рабочий день.</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3.1.6. Критерием принятия решения  является наличие обращения заявителя за получением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3.1.8.  Способ фиксации результата - запись в журнале поступивших заявлений.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Pr>
            <w:rStyle w:val="a5"/>
            <w:rFonts w:ascii="Tahoma" w:hAnsi="Tahoma" w:cs="Tahoma"/>
            <w:color w:val="33A6E3"/>
            <w:sz w:val="13"/>
            <w:szCs w:val="13"/>
            <w:u w:val="none"/>
          </w:rPr>
          <w:t>законодательства</w:t>
        </w:r>
      </w:hyperlink>
      <w:r>
        <w:rPr>
          <w:rFonts w:ascii="Tahoma" w:hAnsi="Tahoma" w:cs="Tahoma"/>
          <w:color w:val="000000"/>
          <w:sz w:val="13"/>
          <w:szCs w:val="13"/>
        </w:rPr>
        <w:t> Российской Федерации о защите персональных данных.</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3.2.5.  Ответ на межведомственный запрос  регистрируется в установленном порядке.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3.2.6. Ответственный исполнитель приобщает ответ, полученный по межведомственному запросу к документам, представленным заявителем.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3.2.7. Максимальный срок выполнения административной процедуры -  7 рабочих дней.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3.2.8.  Критерием принятия решения  является отсутствие документов,  указанных в пункте  2.7. настоящего Административного регламента.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3.2.9. Результат административной процедуры – получение ответов на межведомственные запросы.</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3.2.10. Способ фиксации результата – регистрация ответов на межведомственные запросы в журнале регистрации входящей корреспонденции.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3.3. Рассмотрение материалов, необходимых для предоставления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муниципальной услуги и  принятие решения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3.3.2. Ответственный исполнитель в течение 3-х рабочих дней подготавливает проект распоряжения Администрации.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3.3.5.  Подготовленный проект распоряжения передается на подпись  Главе сельсовета.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3.3.6. Глава  сельсовета, либо должностное лицо  его замещающее,   в течение одного рабочего дня подписывает распоряжение Администрации.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3.3.7. Подписанное распоряжение регистрируется в установленном порядке.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3.3.9.Срок выполнения административной процедуры – не более 10 рабочих дней.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3.3.10. Критерием принятия решения  является  наличие (отсутствие) права заявителя на получение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3.3.12. Способ фиксации результата - зарегистрированное распоряжение Администрации.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3.4. Организация выплаты пенсии за выслугу лет (доплаты к трудовой  пенсии).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3.4.1. Основанием для начала административной процедуры является зарегистрированное распоряжение Администрации.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3.4.4.Срок выполнения административной процедуры – составляет 1 рабочий день со дня перечисления денежных средств в указанную в заявлении кредитную организацию.</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3.4.5.Критерием принятия решения является наличие зарегистрированного распоряжения Администрации.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3.4.7. Способ фиксации результата не предусмотрен</w:t>
      </w:r>
      <w:r>
        <w:rPr>
          <w:rStyle w:val="a6"/>
          <w:rFonts w:ascii="Tahoma" w:hAnsi="Tahoma" w:cs="Tahoma"/>
          <w:color w:val="000000"/>
          <w:sz w:val="13"/>
          <w:szCs w:val="13"/>
        </w:rPr>
        <w:t>.</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IV. Формы  контроля за предоставлением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Глава Ворошневского сельсовета Курского района Курской области.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4.2.1. Контроль</w:t>
      </w:r>
      <w:r>
        <w:rPr>
          <w:rStyle w:val="a6"/>
          <w:rFonts w:ascii="Tahoma" w:hAnsi="Tahoma" w:cs="Tahoma"/>
          <w:color w:val="000000"/>
          <w:sz w:val="13"/>
          <w:szCs w:val="13"/>
        </w:rPr>
        <w:t> </w:t>
      </w:r>
      <w:r>
        <w:rPr>
          <w:rFonts w:ascii="Tahoma" w:hAnsi="Tahoma" w:cs="Tahoma"/>
          <w:color w:val="000000"/>
          <w:sz w:val="13"/>
          <w:szCs w:val="13"/>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4.2.3. Решение об осуществлении плановых и внеплановых проверок полноты и качества предоставления муниципальной услуги принимается Главой Ворошневского сельсовета Курского района Курской области.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Pr>
            <w:rStyle w:val="a5"/>
            <w:rFonts w:ascii="Tahoma" w:hAnsi="Tahoma" w:cs="Tahoma"/>
            <w:color w:val="33A6E3"/>
            <w:sz w:val="13"/>
            <w:szCs w:val="13"/>
            <w:u w:val="none"/>
          </w:rPr>
          <w:t>http://gosuslugi.ru</w:t>
        </w:r>
      </w:hyperlink>
      <w:r>
        <w:rPr>
          <w:rFonts w:ascii="Tahoma" w:hAnsi="Tahoma" w:cs="Tahoma"/>
          <w:color w:val="000000"/>
          <w:sz w:val="13"/>
          <w:szCs w:val="13"/>
        </w:rPr>
        <w:t>.</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Жалоба может быть направлена 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Администрацию Ворошневского сельсовета Курского района Курской области;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привлекаемые организации.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Жалобы рассматривают:</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Администрации Ворошневского сельсовета Курского района Курской области -  уполномоченное на рассмотрение жалоб должностное лицо;</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руководитель многофункционального центра;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руководитель учредителя многофункционального центра;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руководитель  привлекаемой организации.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6"/>
          <w:rFonts w:ascii="Tahoma" w:hAnsi="Tahoma" w:cs="Tahoma"/>
          <w:color w:val="000000"/>
          <w:sz w:val="13"/>
          <w:szCs w:val="13"/>
        </w:rPr>
        <w:t>5.3. Способы информирования заявителей о порядке подачи и рассмотрения жалобы, в том числе с использованием Единого портала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5.4.</w:t>
      </w:r>
      <w:r>
        <w:rPr>
          <w:rFonts w:ascii="Tahoma" w:hAnsi="Tahoma" w:cs="Tahoma"/>
          <w:color w:val="000000"/>
          <w:sz w:val="13"/>
          <w:szCs w:val="13"/>
        </w:rPr>
        <w:t> </w:t>
      </w:r>
      <w:r>
        <w:rPr>
          <w:rStyle w:val="a6"/>
          <w:rFonts w:ascii="Tahoma" w:hAnsi="Tahoma" w:cs="Tahoma"/>
          <w:color w:val="000000"/>
          <w:sz w:val="13"/>
          <w:szCs w:val="13"/>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Федеральным законом  от 27.07.2010 № 210-ФЗ  «Об организации предоставления государственных и муниципальных услуг»;</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постановлением Администрации Ворошневского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Ворошневского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Ворошневского сельсовета Курского района Курской области»;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указанная в данном разделе, размещена  в Региональном  реестре  и  на  Едином  и  Региональном   порталах.</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Приложение № 1</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Административному регламенту</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Администрации Ворошневского сельсовета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Курского района Курской области по</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предоставлению муниципальной услуги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«Назначение и выплата пенсии за выслугу лет</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лицам, замещавшим должности муниципальной</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службы в администрации сельского поселения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Курской области, и ежемесячной доплаты</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пенсии выборным должностным лицам»</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ОБРАЗЕЦ ЗАЯВЛЕНИЯ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Главе Администрации Ворошневского сельсовета Курского района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_____________________________________</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(инициалы и фамилия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района)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от __________________________________</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(фамилия, имя, отчество заявителя)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_____________________________________</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(наименование должности заявителя на день увольнения)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Домашний адрес ______________________</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____________________________________,</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телефон ____________________</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ЗАЯВЛЕНИЕ</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должности, из которой рассчитывается среднемесячный заработок)</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пенсию    за  выслугу  лет  к   трудовой   пенсии по старости (инвалидности).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Пенсию за выслугу лет прошу перечислять в _______________________________________________________________________________</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(Сбербанк России, коммерческий банк и др.)</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_____________ на мой текущий счет № _______________________ (выплачивать через отделение связи №_____________).</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заявлению приложены:</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копия трудовой книжки;</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копия паспорта;</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копия военного билета (в случае его наличия).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 _____________ ____ г. ___________________</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(подпись заявителя)</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Заявление зарегистрировано _____________ ____ г.</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_______________________________________________________________________________</w:t>
      </w:r>
    </w:p>
    <w:p w:rsidR="001F690E" w:rsidRDefault="001F690E" w:rsidP="001F690E">
      <w:pPr>
        <w:pStyle w:val="a8"/>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(подпись, инициалы, фамилия и  должность работника принявшего   заявления)</w:t>
      </w:r>
    </w:p>
    <w:p w:rsidR="00524B7D" w:rsidRPr="001F690E" w:rsidRDefault="00524B7D" w:rsidP="001F690E">
      <w:pPr>
        <w:rPr>
          <w:lang w:val="ru-RU"/>
        </w:rPr>
      </w:pPr>
    </w:p>
    <w:sectPr w:rsidR="00524B7D" w:rsidRPr="001F690E" w:rsidSect="00625CA6">
      <w:headerReference w:type="default" r:id="rId24"/>
      <w:pgSz w:w="12240" w:h="15840"/>
      <w:pgMar w:top="1134" w:right="1276" w:bottom="1134" w:left="1559"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E64" w:rsidRDefault="00A41E64" w:rsidP="00D014B0">
      <w:r>
        <w:separator/>
      </w:r>
    </w:p>
  </w:endnote>
  <w:endnote w:type="continuationSeparator" w:id="0">
    <w:p w:rsidR="00A41E64" w:rsidRDefault="00A41E64" w:rsidP="00D01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E64" w:rsidRDefault="00A41E64" w:rsidP="00D014B0">
      <w:r>
        <w:separator/>
      </w:r>
    </w:p>
  </w:footnote>
  <w:footnote w:type="continuationSeparator" w:id="0">
    <w:p w:rsidR="00A41E64" w:rsidRDefault="00A41E64" w:rsidP="00D01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FE" w:rsidRDefault="00672A0F">
    <w:pPr>
      <w:pStyle w:val="a3"/>
      <w:jc w:val="center"/>
    </w:pPr>
    <w:r>
      <w:fldChar w:fldCharType="begin"/>
    </w:r>
    <w:r w:rsidR="007E3E20">
      <w:instrText>PAGE   \* MERGEFORMAT</w:instrText>
    </w:r>
    <w:r>
      <w:fldChar w:fldCharType="separate"/>
    </w:r>
    <w:r w:rsidR="001F690E" w:rsidRPr="001F690E">
      <w:rPr>
        <w:noProof/>
        <w:lang w:val="ru-RU"/>
      </w:rPr>
      <w:t>8</w:t>
    </w:r>
    <w:r>
      <w:fldChar w:fldCharType="end"/>
    </w:r>
  </w:p>
  <w:p w:rsidR="00C37DFE" w:rsidRDefault="00A41E6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50B84"/>
    <w:multiLevelType w:val="multilevel"/>
    <w:tmpl w:val="7DE0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7E3E20"/>
    <w:rsid w:val="001F690E"/>
    <w:rsid w:val="0023713F"/>
    <w:rsid w:val="00261A69"/>
    <w:rsid w:val="003C54F3"/>
    <w:rsid w:val="003E2861"/>
    <w:rsid w:val="00524B7D"/>
    <w:rsid w:val="00643552"/>
    <w:rsid w:val="00672A0F"/>
    <w:rsid w:val="00696999"/>
    <w:rsid w:val="00743B68"/>
    <w:rsid w:val="007D264B"/>
    <w:rsid w:val="007E10E8"/>
    <w:rsid w:val="007E3E20"/>
    <w:rsid w:val="00804A8A"/>
    <w:rsid w:val="00A41E64"/>
    <w:rsid w:val="00AD619F"/>
    <w:rsid w:val="00AF4140"/>
    <w:rsid w:val="00B801C1"/>
    <w:rsid w:val="00CA696C"/>
    <w:rsid w:val="00D014B0"/>
    <w:rsid w:val="00D60B10"/>
    <w:rsid w:val="00F7294C"/>
    <w:rsid w:val="00FA3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20"/>
    <w:pPr>
      <w:suppressAutoHyphens/>
    </w:pPr>
    <w:rPr>
      <w:rFonts w:eastAsia="Times New Roman"/>
      <w:sz w:val="24"/>
      <w:szCs w:val="24"/>
      <w:lang w:val="en-US" w:eastAsia="ar-SA"/>
    </w:rPr>
  </w:style>
  <w:style w:type="paragraph" w:styleId="2">
    <w:name w:val="heading 2"/>
    <w:basedOn w:val="a"/>
    <w:link w:val="20"/>
    <w:uiPriority w:val="9"/>
    <w:qFormat/>
    <w:rsid w:val="001F690E"/>
    <w:pPr>
      <w:suppressAutoHyphens w:val="0"/>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3E20"/>
    <w:pPr>
      <w:tabs>
        <w:tab w:val="center" w:pos="4677"/>
        <w:tab w:val="right" w:pos="9355"/>
      </w:tabs>
    </w:pPr>
  </w:style>
  <w:style w:type="character" w:customStyle="1" w:styleId="a4">
    <w:name w:val="Верхний колонтитул Знак"/>
    <w:basedOn w:val="a0"/>
    <w:link w:val="a3"/>
    <w:uiPriority w:val="99"/>
    <w:rsid w:val="007E3E20"/>
    <w:rPr>
      <w:rFonts w:eastAsia="Times New Roman"/>
      <w:sz w:val="24"/>
      <w:szCs w:val="24"/>
      <w:lang w:val="en-US" w:eastAsia="ar-SA"/>
    </w:rPr>
  </w:style>
  <w:style w:type="character" w:styleId="a5">
    <w:name w:val="Hyperlink"/>
    <w:basedOn w:val="a0"/>
    <w:uiPriority w:val="99"/>
    <w:semiHidden/>
    <w:unhideWhenUsed/>
    <w:rsid w:val="00743B68"/>
    <w:rPr>
      <w:color w:val="0000FF"/>
      <w:u w:val="single"/>
    </w:rPr>
  </w:style>
  <w:style w:type="character" w:styleId="a6">
    <w:name w:val="Strong"/>
    <w:uiPriority w:val="22"/>
    <w:qFormat/>
    <w:rsid w:val="00AD619F"/>
    <w:rPr>
      <w:rFonts w:ascii="Times New Roman" w:hAnsi="Times New Roman" w:cs="Times New Roman" w:hint="default"/>
      <w:b/>
      <w:bCs w:val="0"/>
    </w:rPr>
  </w:style>
  <w:style w:type="paragraph" w:styleId="a7">
    <w:name w:val="No Spacing"/>
    <w:qFormat/>
    <w:rsid w:val="00AD619F"/>
    <w:pPr>
      <w:suppressAutoHyphens/>
    </w:pPr>
    <w:rPr>
      <w:rFonts w:ascii="Calibri" w:hAnsi="Calibri" w:cs="Calibri"/>
      <w:sz w:val="22"/>
      <w:szCs w:val="22"/>
      <w:lang w:eastAsia="ar-SA"/>
    </w:rPr>
  </w:style>
  <w:style w:type="paragraph" w:customStyle="1" w:styleId="1">
    <w:name w:val="Абзац списка1"/>
    <w:rsid w:val="00AD619F"/>
    <w:pPr>
      <w:widowControl w:val="0"/>
      <w:suppressAutoHyphens/>
      <w:spacing w:line="100" w:lineRule="atLeast"/>
      <w:ind w:left="720"/>
    </w:pPr>
    <w:rPr>
      <w:rFonts w:ascii="Calibri" w:eastAsia="Times New Roman" w:hAnsi="Calibri" w:cs="Calibri"/>
      <w:kern w:val="2"/>
      <w:sz w:val="24"/>
      <w:szCs w:val="24"/>
      <w:lang w:eastAsia="ar-SA"/>
    </w:rPr>
  </w:style>
  <w:style w:type="paragraph" w:styleId="a8">
    <w:name w:val="Normal (Web)"/>
    <w:basedOn w:val="a"/>
    <w:uiPriority w:val="99"/>
    <w:semiHidden/>
    <w:unhideWhenUsed/>
    <w:rsid w:val="00643552"/>
    <w:pPr>
      <w:suppressAutoHyphens w:val="0"/>
      <w:spacing w:before="100" w:beforeAutospacing="1" w:after="100" w:afterAutospacing="1"/>
    </w:pPr>
    <w:rPr>
      <w:lang w:val="ru-RU" w:eastAsia="ru-RU"/>
    </w:rPr>
  </w:style>
  <w:style w:type="character" w:customStyle="1" w:styleId="20">
    <w:name w:val="Заголовок 2 Знак"/>
    <w:basedOn w:val="a0"/>
    <w:link w:val="2"/>
    <w:uiPriority w:val="9"/>
    <w:rsid w:val="001F690E"/>
    <w:rPr>
      <w:rFonts w:eastAsia="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73364132">
      <w:bodyDiv w:val="1"/>
      <w:marLeft w:val="0"/>
      <w:marRight w:val="0"/>
      <w:marTop w:val="0"/>
      <w:marBottom w:val="0"/>
      <w:divBdr>
        <w:top w:val="none" w:sz="0" w:space="0" w:color="auto"/>
        <w:left w:val="none" w:sz="0" w:space="0" w:color="auto"/>
        <w:bottom w:val="none" w:sz="0" w:space="0" w:color="auto"/>
        <w:right w:val="none" w:sz="0" w:space="0" w:color="auto"/>
      </w:divBdr>
    </w:div>
    <w:div w:id="1012802004">
      <w:bodyDiv w:val="1"/>
      <w:marLeft w:val="0"/>
      <w:marRight w:val="0"/>
      <w:marTop w:val="0"/>
      <w:marBottom w:val="0"/>
      <w:divBdr>
        <w:top w:val="none" w:sz="0" w:space="0" w:color="auto"/>
        <w:left w:val="none" w:sz="0" w:space="0" w:color="auto"/>
        <w:bottom w:val="none" w:sz="0" w:space="0" w:color="auto"/>
        <w:right w:val="none" w:sz="0" w:space="0" w:color="auto"/>
      </w:divBdr>
    </w:div>
    <w:div w:id="1235169319">
      <w:bodyDiv w:val="1"/>
      <w:marLeft w:val="0"/>
      <w:marRight w:val="0"/>
      <w:marTop w:val="0"/>
      <w:marBottom w:val="0"/>
      <w:divBdr>
        <w:top w:val="none" w:sz="0" w:space="0" w:color="auto"/>
        <w:left w:val="none" w:sz="0" w:space="0" w:color="auto"/>
        <w:bottom w:val="none" w:sz="0" w:space="0" w:color="auto"/>
        <w:right w:val="none" w:sz="0" w:space="0" w:color="auto"/>
      </w:divBdr>
    </w:div>
    <w:div w:id="137442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http://voroshnevo.rkursk.ru/%20http:/voroshnevo.rkursk.ru%20"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http://gosuslugi.ru/" TargetMode="Externa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7777</Words>
  <Characters>44334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12</cp:revision>
  <dcterms:created xsi:type="dcterms:W3CDTF">2018-11-15T11:55:00Z</dcterms:created>
  <dcterms:modified xsi:type="dcterms:W3CDTF">2024-04-29T09:38:00Z</dcterms:modified>
</cp:coreProperties>
</file>