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7B" w:rsidRPr="007A3021" w:rsidRDefault="001B6E7B" w:rsidP="001B6E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1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1B6E7B" w:rsidRPr="007A3021" w:rsidRDefault="001B6E7B" w:rsidP="001B6E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1B6E7B" w:rsidRPr="007A3021" w:rsidRDefault="001B6E7B" w:rsidP="001B6E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7B" w:rsidRPr="007A3021" w:rsidRDefault="001B6E7B" w:rsidP="001B6E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0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3021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B6E7B" w:rsidRPr="007A3021" w:rsidRDefault="001B6E7B" w:rsidP="001B6E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E7B" w:rsidRPr="007A3021" w:rsidRDefault="001B6E7B" w:rsidP="001B6E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E7B" w:rsidRPr="007A3021" w:rsidRDefault="002B088E" w:rsidP="001B6E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3021">
        <w:rPr>
          <w:rFonts w:ascii="Times New Roman" w:hAnsi="Times New Roman" w:cs="Times New Roman"/>
          <w:sz w:val="28"/>
          <w:szCs w:val="28"/>
        </w:rPr>
        <w:t xml:space="preserve"> </w:t>
      </w:r>
      <w:r w:rsidR="001B6E7B" w:rsidRPr="007A3021">
        <w:rPr>
          <w:rFonts w:ascii="Times New Roman" w:hAnsi="Times New Roman" w:cs="Times New Roman"/>
          <w:sz w:val="28"/>
          <w:szCs w:val="28"/>
        </w:rPr>
        <w:t>04.03.2022 г.</w:t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sz w:val="28"/>
          <w:szCs w:val="28"/>
        </w:rPr>
        <w:tab/>
      </w:r>
      <w:r w:rsidR="001B6E7B" w:rsidRPr="007A3021">
        <w:rPr>
          <w:rFonts w:ascii="Times New Roman" w:hAnsi="Times New Roman" w:cs="Times New Roman"/>
          <w:b/>
          <w:sz w:val="28"/>
          <w:szCs w:val="28"/>
        </w:rPr>
        <w:t>№ 25</w:t>
      </w:r>
    </w:p>
    <w:p w:rsidR="001B6E7B" w:rsidRPr="007A3021" w:rsidRDefault="002B088E" w:rsidP="001B6E7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3021">
        <w:rPr>
          <w:rFonts w:ascii="Times New Roman" w:hAnsi="Times New Roman" w:cs="Times New Roman"/>
          <w:sz w:val="28"/>
          <w:szCs w:val="28"/>
        </w:rPr>
        <w:t xml:space="preserve"> </w:t>
      </w:r>
      <w:r w:rsidR="001B6E7B" w:rsidRPr="007A302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B6E7B" w:rsidRPr="007A3021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1B6E7B" w:rsidRPr="007A3021" w:rsidRDefault="001B6E7B" w:rsidP="002B088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B088E" w:rsidRPr="007A3021" w:rsidRDefault="002B088E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О</w:t>
      </w:r>
      <w:r w:rsidR="00B3605F"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СОЗДАНИИ В ЦЕЛЯХ ПОЖАРОТУШЕНИЯ УСЛОВИЙ</w:t>
      </w:r>
    </w:p>
    <w:p w:rsidR="002B088E" w:rsidRPr="007A3021" w:rsidRDefault="00B3605F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ДЛЯ ЗАБОРА В ЛЮБОЕ ВРЕМЯ ГОДА ВОДЫ</w:t>
      </w:r>
    </w:p>
    <w:p w:rsidR="002B088E" w:rsidRPr="007A3021" w:rsidRDefault="00B3605F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ИЗ ИСТОЧНИКОВ НАРУЖНОГО ВОДОСНАБЖЕНИЯ,</w:t>
      </w:r>
    </w:p>
    <w:p w:rsidR="002B088E" w:rsidRPr="007A3021" w:rsidRDefault="00B3605F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</w:t>
      </w:r>
      <w:proofErr w:type="gramStart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РАСПОЛОЖЕННЫХ</w:t>
      </w:r>
      <w:proofErr w:type="gramEnd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НА ТЕРРИТОРИИ</w:t>
      </w:r>
    </w:p>
    <w:p w:rsidR="002B088E" w:rsidRPr="007A3021" w:rsidRDefault="00B3605F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</w:t>
      </w:r>
      <w:r w:rsidR="0061711F" w:rsidRPr="007A302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ВОРОШНЕВСКОГО СЕЛЬСОВЕТА</w:t>
      </w:r>
    </w:p>
    <w:p w:rsidR="00B3605F" w:rsidRPr="007A3021" w:rsidRDefault="0061711F" w:rsidP="002B088E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A302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КУРСКОГО РАЙОНА КУРСКОЙ ОБЛАСТИ</w:t>
      </w:r>
    </w:p>
    <w:p w:rsidR="002B088E" w:rsidRPr="007A3021" w:rsidRDefault="002B088E" w:rsidP="002B08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088E" w:rsidRPr="007A3021" w:rsidRDefault="002B088E" w:rsidP="002B0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05F" w:rsidRPr="007A3021" w:rsidRDefault="00B3605F" w:rsidP="00045D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21.12.1994 №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021">
        <w:rPr>
          <w:rFonts w:ascii="Arial" w:eastAsia="Times New Roman" w:hAnsi="Arial" w:cs="Arial"/>
          <w:sz w:val="24"/>
          <w:szCs w:val="24"/>
          <w:lang w:eastAsia="ru-RU"/>
        </w:rPr>
        <w:t>69-ФЗ "О пожарной безопасности", в целях создания условий для забора в любое время года воды из источников наружного водоснабжения, расположен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ных на территории </w:t>
      </w:r>
      <w:proofErr w:type="spellStart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наружных источников водоснабжения (приложение №1).</w:t>
      </w:r>
    </w:p>
    <w:p w:rsidR="00B3605F" w:rsidRPr="007A3021" w:rsidRDefault="007A3021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3605F" w:rsidRPr="007A3021">
        <w:rPr>
          <w:rFonts w:ascii="Arial" w:eastAsia="Times New Roman" w:hAnsi="Arial" w:cs="Arial"/>
          <w:sz w:val="24"/>
          <w:szCs w:val="24"/>
          <w:lang w:eastAsia="ru-RU"/>
        </w:rPr>
        <w:t>Утвердить Правила учета и проверки наружного противопожарного водоснабжения и мест для забор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а воды на территории </w:t>
      </w:r>
      <w:proofErr w:type="spellStart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="00B3605F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МО (Приложение №2).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2. Администрации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A30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2.1. Два раз в год (весной и осенью) совместно с руководителями организаций независимо от форм собственности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и добровольной пожарной дружины </w:t>
      </w:r>
      <w:proofErr w:type="spellStart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МО организовывать проведение проверок источников наружного противопожарного водоснабжения расположенных </w:t>
      </w:r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="002B088E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МО. По результатам проверок составлять акты.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2.2. При выявлении условий препятствующих забору воды, принимать незамедлительные меры для устранения недостатков.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2.3. Обеспечить наличие свободных подъездов к </w:t>
      </w:r>
      <w:proofErr w:type="spellStart"/>
      <w:r w:rsidRPr="007A3021">
        <w:rPr>
          <w:rFonts w:ascii="Arial" w:eastAsia="Times New Roman" w:hAnsi="Arial" w:cs="Arial"/>
          <w:sz w:val="24"/>
          <w:szCs w:val="24"/>
          <w:lang w:eastAsia="ru-RU"/>
        </w:rPr>
        <w:t>водоисточникам</w:t>
      </w:r>
      <w:proofErr w:type="spellEnd"/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наружного противопожарного водоснабжения пожарной и приспособленной для целей пожаротушения техники.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2.5. Запретить использование для хозяйственных и производственных целей запаса воды, предназначенного для нужд пожаротушения.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2.6.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B3605F" w:rsidRPr="007A3021" w:rsidRDefault="003607E1" w:rsidP="00B3605F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3. Настоящее распоряжение</w:t>
      </w:r>
      <w:r w:rsidR="00B3605F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 </w:t>
      </w:r>
      <w:r w:rsidR="00BA388C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</w:t>
      </w:r>
      <w:proofErr w:type="spellStart"/>
      <w:r w:rsidR="00BA388C"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="00BA388C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="00B3605F" w:rsidRPr="007A30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605F" w:rsidRDefault="00BA388C" w:rsidP="00BA388C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3605F"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A3021">
        <w:rPr>
          <w:rFonts w:ascii="Arial" w:eastAsia="Times New Roman" w:hAnsi="Arial" w:cs="Arial"/>
          <w:sz w:val="24"/>
          <w:szCs w:val="24"/>
          <w:lang w:eastAsia="ru-RU"/>
        </w:rPr>
        <w:t>Распоряжение вступает в силу со дня его подписания.</w:t>
      </w:r>
    </w:p>
    <w:p w:rsidR="007A3021" w:rsidRPr="007A3021" w:rsidRDefault="007A3021" w:rsidP="00BA388C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88C" w:rsidRPr="007A3021" w:rsidRDefault="00045DBE" w:rsidP="00045DBE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7A3021">
        <w:rPr>
          <w:rFonts w:ascii="Arial" w:eastAsia="Times New Roman" w:hAnsi="Arial" w:cs="Arial"/>
          <w:sz w:val="24"/>
          <w:szCs w:val="24"/>
          <w:lang w:eastAsia="ru-RU"/>
        </w:rPr>
        <w:t>Ворошневского</w:t>
      </w:r>
      <w:proofErr w:type="spellEnd"/>
      <w:r w:rsidRPr="007A302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Н.С.Тарасов</w:t>
      </w:r>
    </w:p>
    <w:p w:rsidR="00B3605F" w:rsidRPr="007A3021" w:rsidRDefault="00B3605F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Приложение № 1</w:t>
      </w:r>
    </w:p>
    <w:p w:rsidR="00FC3ECE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к Р</w:t>
      </w:r>
      <w:r w:rsidR="00FC3ECE" w:rsidRPr="007A3021">
        <w:rPr>
          <w:rFonts w:ascii="Arial" w:eastAsia="Times New Roman" w:hAnsi="Arial" w:cs="Arial"/>
          <w:sz w:val="21"/>
          <w:szCs w:val="21"/>
          <w:lang w:eastAsia="ru-RU"/>
        </w:rPr>
        <w:t>аспоряжению № 25</w:t>
      </w:r>
    </w:p>
    <w:p w:rsidR="00B3605F" w:rsidRPr="007A3021" w:rsidRDefault="00FC3EC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от 04.03. 2022 года </w:t>
      </w:r>
    </w:p>
    <w:p w:rsidR="004C3628" w:rsidRPr="007A3021" w:rsidRDefault="004C3628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3628" w:rsidRPr="007A3021" w:rsidRDefault="004C3628" w:rsidP="004C362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ПЕРЕЧЕНЬ</w:t>
      </w:r>
    </w:p>
    <w:p w:rsidR="004C3628" w:rsidRPr="007A3021" w:rsidRDefault="004C3628" w:rsidP="004C362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источников противопожарного водоснабжения и мест </w:t>
      </w:r>
      <w:proofErr w:type="gramStart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для забора воды в целях пожаротушения в любое время года из источников наружного противопожарного водоснабжения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на территории</w:t>
      </w:r>
      <w:proofErr w:type="gramEnd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</w:t>
      </w:r>
      <w:proofErr w:type="spellStart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Ворошневского</w:t>
      </w:r>
      <w:proofErr w:type="spellEnd"/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сельсовета Курского района Курской области</w:t>
      </w:r>
    </w:p>
    <w:p w:rsidR="004C3628" w:rsidRPr="007A3021" w:rsidRDefault="004C3628" w:rsidP="004C362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"/>
        <w:gridCol w:w="2126"/>
        <w:gridCol w:w="1757"/>
        <w:gridCol w:w="1757"/>
        <w:gridCol w:w="1987"/>
        <w:gridCol w:w="1402"/>
      </w:tblGrid>
      <w:tr w:rsidR="004C3628" w:rsidRPr="007A3021" w:rsidTr="004C3628">
        <w:trPr>
          <w:trHeight w:hRule="exact" w:val="17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7A3021">
              <w:t>п</w:t>
            </w:r>
            <w:proofErr w:type="spellEnd"/>
            <w:proofErr w:type="gramEnd"/>
            <w:r w:rsidRPr="007A3021">
              <w:t>/</w:t>
            </w:r>
            <w:proofErr w:type="spellStart"/>
            <w:r w:rsidRPr="007A3021"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16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t>Наименование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163"/>
              <w:jc w:val="center"/>
              <w:rPr>
                <w:rFonts w:eastAsiaTheme="minorEastAsia"/>
              </w:rPr>
            </w:pPr>
            <w:r w:rsidRPr="007A3021">
              <w:t>населенных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163"/>
              <w:jc w:val="center"/>
              <w:rPr>
                <w:rFonts w:eastAsiaTheme="minorEastAsia"/>
              </w:rPr>
            </w:pPr>
            <w:r w:rsidRPr="007A3021">
              <w:t>пунктов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63" w:right="182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7A3021">
              <w:t>Ворошневского</w:t>
            </w:r>
            <w:proofErr w:type="spellEnd"/>
            <w:r w:rsidRPr="007A3021">
              <w:t xml:space="preserve"> сельсовета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t>Наличие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гидрантов,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колонок,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оборудованных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для забора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воды, скважин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</w:rPr>
              <w:t>(</w:t>
            </w:r>
            <w:r w:rsidRPr="007A3021">
              <w:t>кол-во)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firstLine="2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t xml:space="preserve">Наличие </w:t>
            </w:r>
            <w:proofErr w:type="gramStart"/>
            <w:r w:rsidRPr="007A3021">
              <w:t>водонапорных</w:t>
            </w:r>
            <w:proofErr w:type="gramEnd"/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башен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оборудованных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 xml:space="preserve">арматурой </w:t>
            </w:r>
            <w:proofErr w:type="gramStart"/>
            <w:r w:rsidRPr="007A3021">
              <w:t>для</w:t>
            </w:r>
            <w:proofErr w:type="gramEnd"/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jc w:val="center"/>
              <w:rPr>
                <w:rFonts w:eastAsiaTheme="minorEastAsia"/>
              </w:rPr>
            </w:pPr>
            <w:r w:rsidRPr="007A3021">
              <w:t>забора воды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</w:rPr>
              <w:t>(</w:t>
            </w:r>
            <w:r w:rsidRPr="007A3021">
              <w:t>кол-во)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62" w:right="72" w:firstLine="3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t xml:space="preserve">Наличие </w:t>
            </w:r>
            <w:proofErr w:type="gramStart"/>
            <w:r w:rsidRPr="007A3021">
              <w:t>искусственных</w:t>
            </w:r>
            <w:proofErr w:type="gramEnd"/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eastAsiaTheme="minorEastAsia"/>
              </w:rPr>
            </w:pPr>
            <w:r w:rsidRPr="007A3021">
              <w:t>или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eastAsiaTheme="minorEastAsia"/>
              </w:rPr>
            </w:pPr>
            <w:r w:rsidRPr="007A3021">
              <w:t>естественных</w:t>
            </w:r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eastAsiaTheme="minorEastAsia"/>
              </w:rPr>
            </w:pPr>
            <w:proofErr w:type="spellStart"/>
            <w:r w:rsidRPr="007A3021">
              <w:t>водоисточников</w:t>
            </w:r>
            <w:proofErr w:type="spellEnd"/>
          </w:p>
          <w:p w:rsidR="004C3628" w:rsidRPr="007A3021" w:rsidRDefault="004C3628" w:rsidP="004C3628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eastAsiaTheme="minorEastAsia"/>
              </w:rPr>
            </w:pPr>
            <w:r w:rsidRPr="007A3021">
              <w:t>оборудованных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62"/>
              <w:jc w:val="center"/>
              <w:rPr>
                <w:rFonts w:ascii="Times New Roman" w:eastAsiaTheme="minorEastAsia" w:hAnsi="Times New Roman"/>
              </w:rPr>
            </w:pPr>
            <w:r w:rsidRPr="007A3021">
              <w:t>для забора воды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"/>
              <w:jc w:val="center"/>
              <w:rPr>
                <w:rFonts w:ascii="Times New Roman" w:eastAsiaTheme="minorEastAsia" w:hAnsi="Times New Roman"/>
              </w:rPr>
            </w:pPr>
            <w:r w:rsidRPr="007A3021">
              <w:t>Состояние</w:t>
            </w:r>
          </w:p>
        </w:tc>
      </w:tr>
      <w:tr w:rsidR="004C3628" w:rsidRPr="007A3021" w:rsidTr="004C3628">
        <w:trPr>
          <w:trHeight w:hRule="exact" w:val="9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07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 xml:space="preserve">ул. Сосновая, </w:t>
            </w:r>
            <w:r w:rsidRPr="007A3021">
              <w:rPr>
                <w:sz w:val="28"/>
                <w:szCs w:val="28"/>
              </w:rPr>
              <w:t>д. 21(детская площадка)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8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28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rPr>
                <w:spacing w:val="-2"/>
                <w:sz w:val="28"/>
                <w:szCs w:val="28"/>
              </w:rPr>
              <w:t>ул. Сосновая</w:t>
            </w:r>
          </w:p>
          <w:p w:rsidR="004C3628" w:rsidRPr="007A3021" w:rsidRDefault="004C3628" w:rsidP="004C3628">
            <w:pPr>
              <w:shd w:val="clear" w:color="auto" w:fill="FFFFFF"/>
              <w:spacing w:after="0" w:line="283" w:lineRule="exact"/>
              <w:rPr>
                <w:rFonts w:eastAsiaTheme="minorEastAsia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(</w:t>
            </w:r>
            <w:r w:rsidRPr="007A3021">
              <w:rPr>
                <w:sz w:val="28"/>
                <w:szCs w:val="28"/>
              </w:rPr>
              <w:t>Тепличный комбинат)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9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"/>
              <w:rPr>
                <w:rFonts w:ascii="Times New Roman" w:eastAsiaTheme="minorEastAsia" w:hAnsi="Times New Roman"/>
              </w:rPr>
            </w:pPr>
            <w:r w:rsidRPr="007A3021">
              <w:rPr>
                <w:spacing w:val="-1"/>
                <w:sz w:val="28"/>
                <w:szCs w:val="28"/>
              </w:rPr>
              <w:t xml:space="preserve">ул. Белинского, </w:t>
            </w:r>
            <w:r w:rsidRPr="007A3021">
              <w:rPr>
                <w:sz w:val="28"/>
                <w:szCs w:val="28"/>
              </w:rPr>
              <w:t>д.2, 14 «А», 30, 44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6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8"/>
                <w:szCs w:val="28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4</w:t>
            </w:r>
          </w:p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8"/>
                <w:szCs w:val="28"/>
              </w:rPr>
            </w:pPr>
          </w:p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rPr>
                <w:spacing w:val="-3"/>
                <w:sz w:val="28"/>
                <w:szCs w:val="28"/>
              </w:rPr>
              <w:t>ул. Широкая,</w:t>
            </w:r>
          </w:p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д. 146, 194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_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8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59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 xml:space="preserve">ул. </w:t>
            </w:r>
            <w:proofErr w:type="spellStart"/>
            <w:r w:rsidRPr="007A3021">
              <w:rPr>
                <w:spacing w:val="-3"/>
                <w:sz w:val="28"/>
                <w:szCs w:val="28"/>
              </w:rPr>
              <w:t>Масалова</w:t>
            </w:r>
            <w:proofErr w:type="spellEnd"/>
            <w:r w:rsidRPr="007A3021">
              <w:rPr>
                <w:spacing w:val="-3"/>
                <w:sz w:val="28"/>
                <w:szCs w:val="28"/>
              </w:rPr>
              <w:t xml:space="preserve">, </w:t>
            </w:r>
            <w:r w:rsidRPr="007A3021">
              <w:rPr>
                <w:spacing w:val="-1"/>
                <w:sz w:val="28"/>
                <w:szCs w:val="28"/>
              </w:rPr>
              <w:t xml:space="preserve">д. 1, </w:t>
            </w:r>
            <w:r w:rsidRPr="007A3021">
              <w:rPr>
                <w:sz w:val="28"/>
                <w:szCs w:val="28"/>
              </w:rPr>
              <w:t>17,30,61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8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9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rPr>
                <w:sz w:val="28"/>
                <w:szCs w:val="28"/>
              </w:rPr>
              <w:t>ул.  1-я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Коноплянка,  д. 1, 12 «А»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9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eastAsiaTheme="minorEastAsia" w:hAnsi="Times New Roman"/>
              </w:rPr>
            </w:pPr>
            <w:r w:rsidRPr="007A3021">
              <w:rPr>
                <w:spacing w:val="-1"/>
                <w:sz w:val="28"/>
                <w:szCs w:val="28"/>
              </w:rPr>
              <w:t xml:space="preserve">ул.                 2-я </w:t>
            </w:r>
            <w:r w:rsidRPr="007A3021">
              <w:rPr>
                <w:sz w:val="28"/>
                <w:szCs w:val="28"/>
              </w:rPr>
              <w:t>Коноплянка, д.8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114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rPr>
                <w:sz w:val="28"/>
                <w:szCs w:val="28"/>
              </w:rPr>
              <w:t>ул.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12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 xml:space="preserve">Центральная, </w:t>
            </w:r>
            <w:r w:rsidRPr="007A3021">
              <w:rPr>
                <w:sz w:val="28"/>
                <w:szCs w:val="28"/>
              </w:rPr>
              <w:t>д.23, 75, 78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9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4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 xml:space="preserve">ул. Юбилейная, </w:t>
            </w:r>
            <w:r w:rsidRPr="007A3021">
              <w:rPr>
                <w:spacing w:val="-1"/>
                <w:sz w:val="28"/>
                <w:szCs w:val="28"/>
              </w:rPr>
              <w:t xml:space="preserve">д. </w:t>
            </w:r>
            <w:r w:rsidRPr="007A3021">
              <w:rPr>
                <w:i/>
                <w:iCs/>
                <w:spacing w:val="-1"/>
                <w:sz w:val="28"/>
                <w:szCs w:val="28"/>
              </w:rPr>
              <w:t xml:space="preserve">2, </w:t>
            </w:r>
            <w:r w:rsidRPr="007A3021">
              <w:rPr>
                <w:spacing w:val="-1"/>
                <w:sz w:val="28"/>
                <w:szCs w:val="28"/>
              </w:rPr>
              <w:t>5, 10, 36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11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shd w:val="clear" w:color="auto" w:fill="FFFFFF"/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A3021">
              <w:rPr>
                <w:sz w:val="28"/>
                <w:szCs w:val="28"/>
              </w:rPr>
              <w:t>ул.</w:t>
            </w:r>
          </w:p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12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 xml:space="preserve">Молодёжная, </w:t>
            </w:r>
            <w:r w:rsidRPr="007A3021">
              <w:rPr>
                <w:sz w:val="28"/>
                <w:szCs w:val="28"/>
              </w:rPr>
              <w:t>д. 16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7A3021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Theme="minorEastAsia"/>
                <w:sz w:val="28"/>
                <w:szCs w:val="28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11</w:t>
            </w:r>
          </w:p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Theme="minorEastAsia"/>
                <w:sz w:val="28"/>
                <w:szCs w:val="28"/>
              </w:rPr>
            </w:pPr>
          </w:p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7A3021">
              <w:rPr>
                <w:spacing w:val="-3"/>
                <w:sz w:val="28"/>
                <w:szCs w:val="28"/>
              </w:rPr>
              <w:t>ул. Ясная, д. 14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6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461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ул. Луговая, д.6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_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6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eastAsiaTheme="minorEastAsia" w:hAnsi="Times New Roman"/>
              </w:rPr>
            </w:pPr>
            <w:r w:rsidRPr="007A3021">
              <w:rPr>
                <w:spacing w:val="-1"/>
                <w:sz w:val="28"/>
                <w:szCs w:val="28"/>
              </w:rPr>
              <w:t xml:space="preserve">ул.  Садовая, </w:t>
            </w:r>
            <w:r w:rsidRPr="007A3021">
              <w:rPr>
                <w:sz w:val="28"/>
                <w:szCs w:val="28"/>
              </w:rPr>
              <w:t>д.14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5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  <w:tr w:rsidR="004C3628" w:rsidRPr="007A3021" w:rsidTr="004C3628">
        <w:trPr>
          <w:trHeight w:hRule="exact" w:val="107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5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 xml:space="preserve">х. </w:t>
            </w:r>
            <w:proofErr w:type="spellStart"/>
            <w:r w:rsidRPr="007A3021">
              <w:rPr>
                <w:sz w:val="28"/>
                <w:szCs w:val="28"/>
              </w:rPr>
              <w:t>Духовец</w:t>
            </w:r>
            <w:proofErr w:type="spellEnd"/>
            <w:r w:rsidRPr="007A3021">
              <w:rPr>
                <w:sz w:val="28"/>
                <w:szCs w:val="28"/>
              </w:rPr>
              <w:t>, д. 34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 w:rsidP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0"/>
              <w:rPr>
                <w:rFonts w:ascii="Times New Roman" w:eastAsiaTheme="minorEastAsia" w:hAnsi="Times New Roman"/>
              </w:rPr>
            </w:pPr>
            <w:r w:rsidRPr="007A3021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628" w:rsidRPr="007A3021" w:rsidRDefault="004C3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eastAsiaTheme="minorEastAsia" w:hAnsi="Times New Roman"/>
              </w:rPr>
            </w:pPr>
            <w:r w:rsidRPr="007A3021">
              <w:rPr>
                <w:sz w:val="28"/>
                <w:szCs w:val="28"/>
              </w:rPr>
              <w:t>Удов.</w:t>
            </w:r>
          </w:p>
        </w:tc>
      </w:tr>
    </w:tbl>
    <w:p w:rsidR="004C3628" w:rsidRPr="007A3021" w:rsidRDefault="004C3628" w:rsidP="004C3628">
      <w:pPr>
        <w:shd w:val="clear" w:color="auto" w:fill="FFFFFF"/>
        <w:spacing w:before="466"/>
        <w:ind w:left="130"/>
        <w:rPr>
          <w:sz w:val="20"/>
          <w:szCs w:val="20"/>
        </w:rPr>
      </w:pPr>
      <w:r w:rsidRPr="007A3021">
        <w:rPr>
          <w:spacing w:val="-1"/>
          <w:sz w:val="28"/>
          <w:szCs w:val="28"/>
        </w:rPr>
        <w:t>Всего - 31 ПГ.</w:t>
      </w:r>
    </w:p>
    <w:p w:rsidR="004C3628" w:rsidRPr="007A3021" w:rsidRDefault="004C3628" w:rsidP="004C3628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3628" w:rsidRPr="007A3021" w:rsidRDefault="004C3628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045DBE" w:rsidRPr="007A3021" w:rsidRDefault="00045DB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Pr="007A302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607E1" w:rsidRDefault="003607E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3021" w:rsidRPr="007A3021" w:rsidRDefault="007A3021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045DBE" w:rsidRPr="007A3021" w:rsidRDefault="00045DBE" w:rsidP="003607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045DBE" w:rsidRPr="007A3021" w:rsidRDefault="00045DB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3605F" w:rsidRPr="007A3021" w:rsidRDefault="00B3605F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Приложение № 2</w:t>
      </w:r>
    </w:p>
    <w:p w:rsidR="00FC3ECE" w:rsidRPr="007A3021" w:rsidRDefault="00FC3EC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к Распоряжению № 25 </w:t>
      </w:r>
    </w:p>
    <w:p w:rsidR="00FC3ECE" w:rsidRPr="007A3021" w:rsidRDefault="00FC3EC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от 04.03.2022 г.</w:t>
      </w:r>
    </w:p>
    <w:p w:rsidR="00FC3ECE" w:rsidRPr="007A3021" w:rsidRDefault="00FC3EC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FC3ECE" w:rsidRPr="007A3021" w:rsidRDefault="00FC3ECE" w:rsidP="00B3605F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3605F" w:rsidRPr="007A3021" w:rsidRDefault="00B3605F" w:rsidP="00B3605F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ПРАВИЛА</w:t>
      </w:r>
    </w:p>
    <w:p w:rsidR="00B3605F" w:rsidRPr="007A3021" w:rsidRDefault="00B3605F" w:rsidP="003607E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lang w:eastAsia="ru-RU"/>
        </w:rPr>
      </w:pP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>учета и проверки наружного противопожарного</w:t>
      </w:r>
      <w:r w:rsidR="003607E1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водоснабжения на территории </w:t>
      </w:r>
      <w:proofErr w:type="spellStart"/>
      <w:r w:rsidR="003607E1" w:rsidRPr="007A3021">
        <w:rPr>
          <w:rFonts w:ascii="Arial" w:eastAsia="Times New Roman" w:hAnsi="Arial" w:cs="Arial"/>
          <w:b/>
          <w:bCs/>
          <w:sz w:val="21"/>
          <w:lang w:eastAsia="ru-RU"/>
        </w:rPr>
        <w:t>Ворошневского</w:t>
      </w:r>
      <w:proofErr w:type="spellEnd"/>
      <w:r w:rsidR="003607E1" w:rsidRPr="007A3021">
        <w:rPr>
          <w:rFonts w:ascii="Arial" w:eastAsia="Times New Roman" w:hAnsi="Arial" w:cs="Arial"/>
          <w:b/>
          <w:bCs/>
          <w:sz w:val="21"/>
          <w:lang w:eastAsia="ru-RU"/>
        </w:rPr>
        <w:t xml:space="preserve"> сельсовета Курского района Курской области</w:t>
      </w:r>
    </w:p>
    <w:p w:rsidR="003607E1" w:rsidRPr="007A3021" w:rsidRDefault="003607E1" w:rsidP="003607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1. Общие положения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1.1. Настоящие Правила действую</w:t>
      </w:r>
      <w:r w:rsidR="00FC3EC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т на всей территории 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МО </w:t>
      </w:r>
      <w:r w:rsidR="00FC3ECE" w:rsidRPr="007A3021">
        <w:rPr>
          <w:rFonts w:ascii="Arial" w:eastAsia="Times New Roman" w:hAnsi="Arial" w:cs="Arial"/>
          <w:sz w:val="21"/>
          <w:szCs w:val="21"/>
          <w:lang w:eastAsia="ru-RU"/>
        </w:rPr>
        <w:t>«</w:t>
      </w:r>
      <w:proofErr w:type="spellStart"/>
      <w:r w:rsidR="00FC3ECE" w:rsidRPr="007A3021">
        <w:rPr>
          <w:rFonts w:ascii="Arial" w:eastAsia="Times New Roman" w:hAnsi="Arial" w:cs="Arial"/>
          <w:sz w:val="21"/>
          <w:szCs w:val="21"/>
          <w:lang w:eastAsia="ru-RU"/>
        </w:rPr>
        <w:t>Ворошневский</w:t>
      </w:r>
      <w:proofErr w:type="spellEnd"/>
      <w:r w:rsidR="00FC3EC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сельсовет» 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>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1.2. Наружное противопожарное водоснабжение поселения включает в себя: пожар</w:t>
      </w:r>
      <w:r w:rsidR="0061711F" w:rsidRPr="007A3021">
        <w:rPr>
          <w:rFonts w:ascii="Arial" w:eastAsia="Times New Roman" w:hAnsi="Arial" w:cs="Arial"/>
          <w:sz w:val="21"/>
          <w:szCs w:val="21"/>
          <w:lang w:eastAsia="ru-RU"/>
        </w:rPr>
        <w:t>ные гидранты,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1.4. Подразделения пожарной охраны имеют право </w:t>
      </w:r>
      <w:r w:rsidR="0061711F" w:rsidRPr="007A3021">
        <w:rPr>
          <w:rFonts w:ascii="Arial" w:eastAsia="Times New Roman" w:hAnsi="Arial" w:cs="Arial"/>
          <w:sz w:val="21"/>
          <w:szCs w:val="21"/>
          <w:lang w:eastAsia="ru-RU"/>
        </w:rPr>
        <w:t>на беспрепятственный подъезд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точным учетом всех источников противопожарного водоснабжения;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- систематическим </w:t>
      </w:r>
      <w:proofErr w:type="gram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контролем за</w:t>
      </w:r>
      <w:proofErr w:type="gram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состоянием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водоисточников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3. Учет и порядок проверки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3.3. Проверка противопожарного водоснабжения производится 2 раза в год.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3.4. При проверке пожарного водоема проверяется: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наличие на видном месте указателя установленного образца;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герметичность задвижек (при их наличии).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4. Инвентаризация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4.2. Инвентаризация проводится с целью учета всех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водоисточников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4.3. Для проведения</w:t>
      </w:r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инвентаризации водоснабжения распоряжением администрации </w:t>
      </w:r>
      <w:proofErr w:type="spellStart"/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>Ворошневского</w:t>
      </w:r>
      <w:proofErr w:type="spellEnd"/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сельсовета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создается межведомственная комиссия, в состав которой входят: представители органов мес</w:t>
      </w:r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тного самоуправления </w:t>
      </w:r>
      <w:proofErr w:type="spellStart"/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>Ворошневского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сельского поселения, органа государственного пожарного надзора, абоненты.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4.4. Комиссия путем детальной проверки каждого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водоисточника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уточняет: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наличие насосов, их состояние;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выполнение планов замены пожарных кранов;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- строи</w:t>
      </w:r>
      <w:r w:rsidR="00045DBE"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тельства новых </w:t>
      </w: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колодцев.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водоисточников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5. Ремонт и реконструкция противопожарного водоснабжения.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5.1. Собственники, в ведении которых находится неисправный источник противопожарного водоснабжения, обязаны в течение 10 дней получения сообщения о неисправности произвести ремонт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водоисточника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. В случае проведения капитального ремонта или замены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водоисточника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 сроки согласовываются с государственной противопожарной службой.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6. Особенности эксплуатации противопожарного водоснабжения в зимних условиях.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>6.1. Ежегодно производится подготовка противопожарного водоснабжения к работе в зимних условиях, для чего необходимо:</w:t>
      </w:r>
    </w:p>
    <w:p w:rsidR="00B3605F" w:rsidRPr="007A3021" w:rsidRDefault="00B3605F" w:rsidP="00B3605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A3021">
        <w:rPr>
          <w:rFonts w:ascii="Arial" w:eastAsia="Times New Roman" w:hAnsi="Arial" w:cs="Arial"/>
          <w:sz w:val="21"/>
          <w:szCs w:val="21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7A3021">
        <w:rPr>
          <w:rFonts w:ascii="Arial" w:eastAsia="Times New Roman" w:hAnsi="Arial" w:cs="Arial"/>
          <w:sz w:val="21"/>
          <w:szCs w:val="21"/>
          <w:lang w:eastAsia="ru-RU"/>
        </w:rPr>
        <w:t>водоисточникам</w:t>
      </w:r>
      <w:proofErr w:type="spellEnd"/>
      <w:r w:rsidRPr="007A3021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5A09F0" w:rsidRPr="007A3021" w:rsidRDefault="005A09F0"/>
    <w:sectPr w:rsidR="005A09F0" w:rsidRPr="007A3021" w:rsidSect="007A30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BD"/>
    <w:multiLevelType w:val="multilevel"/>
    <w:tmpl w:val="7ED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79FE"/>
    <w:multiLevelType w:val="multilevel"/>
    <w:tmpl w:val="D0C2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D16"/>
    <w:multiLevelType w:val="multilevel"/>
    <w:tmpl w:val="CC60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24D35"/>
    <w:multiLevelType w:val="multilevel"/>
    <w:tmpl w:val="3BF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55ECC"/>
    <w:multiLevelType w:val="multilevel"/>
    <w:tmpl w:val="E85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97F71"/>
    <w:multiLevelType w:val="multilevel"/>
    <w:tmpl w:val="EB5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605F"/>
    <w:rsid w:val="00045DBE"/>
    <w:rsid w:val="000744D0"/>
    <w:rsid w:val="00077F84"/>
    <w:rsid w:val="001B6E7B"/>
    <w:rsid w:val="002B088E"/>
    <w:rsid w:val="003607E1"/>
    <w:rsid w:val="004C3628"/>
    <w:rsid w:val="005A09F0"/>
    <w:rsid w:val="005B0AB5"/>
    <w:rsid w:val="005E5560"/>
    <w:rsid w:val="005F630F"/>
    <w:rsid w:val="0061711F"/>
    <w:rsid w:val="007A3021"/>
    <w:rsid w:val="00B3605F"/>
    <w:rsid w:val="00BA388C"/>
    <w:rsid w:val="00E74A16"/>
    <w:rsid w:val="00FC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5F"/>
    <w:rPr>
      <w:b/>
      <w:bCs/>
    </w:rPr>
  </w:style>
  <w:style w:type="paragraph" w:styleId="a5">
    <w:name w:val="No Spacing"/>
    <w:uiPriority w:val="1"/>
    <w:qFormat/>
    <w:rsid w:val="001B6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10</cp:revision>
  <cp:lastPrinted>2022-03-09T13:22:00Z</cp:lastPrinted>
  <dcterms:created xsi:type="dcterms:W3CDTF">2022-03-09T07:18:00Z</dcterms:created>
  <dcterms:modified xsi:type="dcterms:W3CDTF">2022-03-10T14:02:00Z</dcterms:modified>
</cp:coreProperties>
</file>