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76" w:rsidRDefault="002A3776" w:rsidP="002A3776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b/>
          <w:color w:val="333333"/>
          <w:sz w:val="28"/>
          <w:szCs w:val="28"/>
        </w:rPr>
        <w:t>Что относится к некапитальным сооружениям. Условия возведения (размещения) некапитальных сооружений?</w:t>
      </w:r>
    </w:p>
    <w:p w:rsidR="002A3776" w:rsidRPr="00337275" w:rsidRDefault="002A3776" w:rsidP="002A3776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A3776" w:rsidRPr="00337275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Некапитальные сооружения не имеют прочной связи с землей. Конструктивные характеристики позволяют переместить их и (или) демонтировать, впоследствии собрать без несоразмерного ущерба назначению и без изменения основных характеристик сооружений, в том числе киосков, навесов и других подобных сооружений (п. 10.2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 РФ).</w:t>
      </w:r>
    </w:p>
    <w:p w:rsidR="002A3776" w:rsidRPr="00337275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>Такие сооружения не должны признаваться объектами недвижимости, поскольку у них отсутствуют признаки недвижимости, указанные в п. 1 ст. 130 ГК РФ.</w:t>
      </w:r>
    </w:p>
    <w:p w:rsidR="002A3776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При возведении таких сооружений не нужно получать разрешение на строительство, на ввод в эксплуатацию, а также ставить их на кадастровый учет и регистрировать права на них в ЕГРН (п. 2 ч. 17 ст. 51, ч. 1 ст. 55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 РФ, ч. 6, 7 ст. 1 Закона о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госрегистрации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 недвижимости). Отметим, что для возведения некапитальных сооружений на государственных и муниципальных землях участок получать не нужно (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. 3, 6 - 9 п. 1 ст. 39.33 ЗК РФ). В отдельных случаях (например, когда речь идет о нестационарных торговых объектах) их размещение должно осуществляться на основании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(п. п. 1, 1.1 ст. 39.36 ЗК РФ): схемы размещения; </w:t>
      </w:r>
      <w:r w:rsidRPr="00337275">
        <w:rPr>
          <w:rFonts w:ascii="Times New Roman" w:hAnsi="Times New Roman" w:cs="Times New Roman"/>
          <w:color w:val="333333"/>
          <w:sz w:val="28"/>
          <w:szCs w:val="28"/>
        </w:rPr>
        <w:t>соглашений об осуществлении рекреационной деятельности в национальных парках.</w:t>
      </w:r>
    </w:p>
    <w:p w:rsidR="002A3776" w:rsidRDefault="002A3776" w:rsidP="002A377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3776" w:rsidRPr="0046522F" w:rsidRDefault="002A3776" w:rsidP="002A377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района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2A3776" w:rsidRDefault="002A3776" w:rsidP="002A3776">
      <w:pPr>
        <w:jc w:val="both"/>
      </w:pPr>
    </w:p>
    <w:p w:rsidR="003B22AF" w:rsidRDefault="003B22AF"/>
    <w:sectPr w:rsidR="003B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76"/>
    <w:rsid w:val="002A3776"/>
    <w:rsid w:val="003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07B"/>
  <w15:chartTrackingRefBased/>
  <w15:docId w15:val="{78542CD7-6DE4-4174-BF26-0608F395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2023-10-27T08:44:00Z</dcterms:created>
  <dcterms:modified xsi:type="dcterms:W3CDTF">2023-10-27T08:44:00Z</dcterms:modified>
</cp:coreProperties>
</file>