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5A" w:rsidRDefault="00AC735A" w:rsidP="00AC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AC735A" w:rsidRDefault="00AC735A" w:rsidP="00AC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C735A" w:rsidRDefault="00AC735A" w:rsidP="00AC735A">
      <w:pPr>
        <w:rPr>
          <w:rFonts w:ascii="Times New Roman" w:hAnsi="Times New Roman" w:cs="Times New Roman"/>
          <w:b/>
          <w:sz w:val="28"/>
          <w:szCs w:val="28"/>
        </w:rPr>
      </w:pPr>
    </w:p>
    <w:p w:rsidR="00AC735A" w:rsidRDefault="00AC735A" w:rsidP="00AC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735A" w:rsidRDefault="00AC735A" w:rsidP="00AC735A">
      <w:pPr>
        <w:rPr>
          <w:rFonts w:ascii="Times New Roman" w:hAnsi="Times New Roman" w:cs="Times New Roman"/>
          <w:b/>
          <w:sz w:val="28"/>
          <w:szCs w:val="28"/>
        </w:rPr>
      </w:pPr>
    </w:p>
    <w:p w:rsidR="00AC735A" w:rsidRDefault="00AC735A" w:rsidP="00AC73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5E450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E450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201</w:t>
      </w:r>
      <w:r w:rsidR="005E450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</w:t>
      </w:r>
      <w:r w:rsidR="00682C3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5E4507">
        <w:rPr>
          <w:rFonts w:ascii="Times New Roman" w:hAnsi="Times New Roman" w:cs="Times New Roman"/>
          <w:b/>
          <w:sz w:val="28"/>
          <w:szCs w:val="28"/>
        </w:rPr>
        <w:t>71</w:t>
      </w:r>
    </w:p>
    <w:p w:rsidR="00AC735A" w:rsidRDefault="00AC735A" w:rsidP="00AC73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C735A" w:rsidRDefault="00AC735A" w:rsidP="00682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02.09.2013 г. № 84 « Об утверждении Порядка разработки, реализации и оценки эффективности муниципальных программ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5E4507" w:rsidRPr="004F453C" w:rsidRDefault="005E4507" w:rsidP="005E4507">
      <w:pPr>
        <w:shd w:val="clear" w:color="auto" w:fill="FFFFFF"/>
        <w:rPr>
          <w:b/>
          <w:bCs/>
          <w:color w:val="000000"/>
          <w:spacing w:val="3"/>
          <w:sz w:val="28"/>
          <w:szCs w:val="28"/>
        </w:rPr>
      </w:pPr>
    </w:p>
    <w:p w:rsidR="005E4507" w:rsidRPr="005E4507" w:rsidRDefault="005E4507" w:rsidP="005E4507">
      <w:pPr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Arial" w:hAnsi="Arial" w:cs="Arial"/>
          <w:bCs/>
          <w:color w:val="000000"/>
          <w:spacing w:val="3"/>
        </w:rPr>
        <w:t xml:space="preserve">      </w:t>
      </w:r>
      <w:r w:rsidRPr="005E450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В соответствии с п. 7 ч. 2 ст. 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ч. 2 ст. 157 Бюджетного кодекса РФ и требованием прокуратуры Курского района от 28.06.2019</w:t>
      </w:r>
      <w:r w:rsidR="008508E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г.</w:t>
      </w:r>
    </w:p>
    <w:p w:rsidR="00AC735A" w:rsidRDefault="00AC735A" w:rsidP="005E45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C735A" w:rsidRDefault="00AC735A" w:rsidP="00AC7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Утвердить, прилагаемые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02.09.2013 г. № 84 « Об утверждении Порядка разработки, реализации и оценки эффективности муниципальных программ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AC735A" w:rsidRDefault="00AC735A" w:rsidP="00AC7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разработки, реализации и оценки эффективности муниципальных программ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с учетом внесенных изменений прилагается.</w:t>
      </w:r>
    </w:p>
    <w:p w:rsidR="00AC735A" w:rsidRDefault="00AC735A" w:rsidP="00AC73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</w:t>
      </w:r>
    </w:p>
    <w:p w:rsidR="00682C3F" w:rsidRDefault="00682C3F" w:rsidP="00AC735A">
      <w:pPr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AC735A" w:rsidRDefault="00AC735A" w:rsidP="00AC73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C735A" w:rsidRDefault="00AC735A" w:rsidP="00AC73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C735A" w:rsidRDefault="00AC735A" w:rsidP="00AC73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C735A" w:rsidRDefault="00AC735A" w:rsidP="00AC73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682C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82C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82C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82C3F">
        <w:rPr>
          <w:rFonts w:ascii="Times New Roman" w:hAnsi="Times New Roman" w:cs="Times New Roman"/>
          <w:sz w:val="28"/>
          <w:szCs w:val="28"/>
        </w:rPr>
        <w:t>71</w:t>
      </w:r>
    </w:p>
    <w:p w:rsidR="00AC735A" w:rsidRDefault="00AC735A" w:rsidP="00AC735A">
      <w:pPr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AC735A" w:rsidRDefault="00AC735A" w:rsidP="00AC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 ВНОСЯТСЯ В ПОСТАНОВЛЕНИЕ АДМИНИСТРАЦИИ ВОРОШНЕВСКОГО СЕЛЬСОВЕТА КУРСКОГО РАЙОНА КУРСКОЙ ОБЛАСТИ ОТ 02.09.2013 г. № 84</w:t>
      </w:r>
    </w:p>
    <w:p w:rsidR="00AC735A" w:rsidRDefault="00AC735A" w:rsidP="00AC7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5A" w:rsidRDefault="00AC735A" w:rsidP="00AC73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 разработки, реализации и оценки эффективности муниципальных программ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следующие изменения:</w:t>
      </w:r>
    </w:p>
    <w:p w:rsidR="008508E5" w:rsidRPr="008508E5" w:rsidRDefault="008508E5" w:rsidP="008508E5">
      <w:pPr>
        <w:widowControl w:val="0"/>
        <w:autoSpaceDE w:val="0"/>
        <w:spacing w:line="10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8E5">
        <w:rPr>
          <w:rFonts w:ascii="Times New Roman" w:hAnsi="Times New Roman" w:cs="Times New Roman"/>
          <w:sz w:val="28"/>
          <w:szCs w:val="28"/>
        </w:rPr>
        <w:t xml:space="preserve">1.1 Пункт 40 раздела </w:t>
      </w:r>
      <w:r w:rsidRPr="008508E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«Управление</w:t>
      </w:r>
      <w:r w:rsidR="00FC1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контроль реализации муниципальной программы»</w:t>
      </w:r>
      <w:r w:rsidRPr="008508E5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8508E5">
        <w:rPr>
          <w:rFonts w:ascii="Times New Roman" w:hAnsi="Times New Roman" w:cs="Times New Roman"/>
          <w:bCs/>
          <w:sz w:val="28"/>
          <w:szCs w:val="28"/>
        </w:rPr>
        <w:t>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8508E5">
        <w:rPr>
          <w:rFonts w:ascii="Times New Roman" w:hAnsi="Times New Roman" w:cs="Times New Roman"/>
          <w:bCs/>
          <w:sz w:val="28"/>
          <w:szCs w:val="28"/>
        </w:rPr>
        <w:t xml:space="preserve">» Курского района Курской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FC170D">
        <w:rPr>
          <w:rFonts w:ascii="Times New Roman" w:hAnsi="Times New Roman" w:cs="Times New Roman"/>
          <w:bCs/>
          <w:sz w:val="28"/>
          <w:szCs w:val="28"/>
        </w:rPr>
        <w:t>текст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508E5" w:rsidRPr="008508E5" w:rsidRDefault="008508E5" w:rsidP="008508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8E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40</w:t>
      </w:r>
      <w:r w:rsidRPr="008508E5">
        <w:rPr>
          <w:rFonts w:ascii="Times New Roman" w:hAnsi="Times New Roman" w:cs="Times New Roman"/>
          <w:sz w:val="28"/>
          <w:szCs w:val="28"/>
        </w:rPr>
        <w:t xml:space="preserve">. Годовой отчет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508E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"Интернет"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08E5">
        <w:rPr>
          <w:rFonts w:ascii="Times New Roman" w:hAnsi="Times New Roman" w:cs="Times New Roman"/>
          <w:sz w:val="28"/>
          <w:szCs w:val="28"/>
        </w:rPr>
        <w:t xml:space="preserve"> 7 (семи) рабочих дней.</w:t>
      </w:r>
    </w:p>
    <w:p w:rsidR="008508E5" w:rsidRPr="008508E5" w:rsidRDefault="008508E5" w:rsidP="008508E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8E5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оценке эффективности муниципальных программ подлежит размещению на официальном сайте Администрации </w:t>
      </w:r>
      <w:proofErr w:type="spellStart"/>
      <w:r w:rsidRPr="008508E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508E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"Интернет"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08E5">
        <w:rPr>
          <w:rFonts w:ascii="Times New Roman" w:hAnsi="Times New Roman" w:cs="Times New Roman"/>
          <w:sz w:val="28"/>
          <w:szCs w:val="28"/>
        </w:rPr>
        <w:t xml:space="preserve"> 7 (семи) рабочих дней</w:t>
      </w:r>
      <w:proofErr w:type="gramStart"/>
      <w:r w:rsidRPr="008508E5">
        <w:rPr>
          <w:rFonts w:ascii="Times New Roman" w:hAnsi="Times New Roman" w:cs="Times New Roman"/>
          <w:sz w:val="28"/>
          <w:szCs w:val="28"/>
        </w:rPr>
        <w:t>.</w:t>
      </w:r>
      <w:r w:rsidRPr="008508E5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End"/>
    </w:p>
    <w:p w:rsidR="00AC735A" w:rsidRDefault="00AC735A" w:rsidP="00AC7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508E5" w:rsidRDefault="008508E5" w:rsidP="00AC7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508E5" w:rsidRDefault="008508E5" w:rsidP="00AC7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508E5" w:rsidRDefault="008508E5" w:rsidP="00AC7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508E5" w:rsidRDefault="008508E5" w:rsidP="00AC7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508E5" w:rsidRDefault="008508E5" w:rsidP="00AC7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разработки, реализации и оценки эффективности муниципальных программ 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Курского района Курской области от 02.09.2013 г. № 84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(с учетом внесенных изменений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23.08.2016 г. № 128</w:t>
      </w:r>
      <w:r w:rsidR="008508E5">
        <w:rPr>
          <w:rFonts w:ascii="Times New Roman" w:hAnsi="Times New Roman" w:cs="Times New Roman"/>
          <w:bCs/>
          <w:sz w:val="28"/>
          <w:szCs w:val="28"/>
        </w:rPr>
        <w:t>,</w:t>
      </w:r>
    </w:p>
    <w:p w:rsidR="008508E5" w:rsidRDefault="008508E5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24.07.2019 г. № 71.</w:t>
      </w:r>
    </w:p>
    <w:p w:rsidR="00AC735A" w:rsidRDefault="00AC735A" w:rsidP="00AC73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разработки, реализации и оценки эффективности муниципальных программ 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(далее - муниципальные программы),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Муниципальной  программой является документ стратегического планирования, содержащий систему мероприятий (взаимоувязанных по задачам, срокам осуществления и ресурсам) и инструментов муниципальной  политики, обеспечивающих в рамках реализации ключевых муниципальных функций достижение приоритетов и целей муниципальной  политики в сфере социально-экономического развития 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Муниципальная  программа включает в себя подпрограммы, содержащие, в том числе ведомственные целевые программы и отдельные мероприятия, реализуемые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 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Подпрограммы направлены на решение конкретных задач в рамках муниципальной 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муниципальной  программы на подпрограммы осуществляется исходя из масштабности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решаемых в рамках муниципальной 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задач.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Разработка и реализация муниципальной  программы осуществляются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Раскрытие информации о подготовке проекта муниципальной  программы осуществляется в порядке, установленном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Муниципальная программа подлежит общественному обсуждению  и утверждается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или проект изменений в муниципальную программу до внесения на рассмотрение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направляется в Контрольно-счетный орган (Ревизионную комиссию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для проведения финансово-экономической экспертизы.</w:t>
      </w:r>
    </w:p>
    <w:p w:rsidR="00AC735A" w:rsidRDefault="00AC735A" w:rsidP="00AC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 подлежат утверждению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не позднее 5 сентября текущего финансового года.</w:t>
      </w:r>
    </w:p>
    <w:p w:rsidR="00AC735A" w:rsidRDefault="00AC735A" w:rsidP="00AC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муниципальные программы осуществляется в случаях, когда планируемые изменения бюджетных ассигнований оказывают значительное влияние на целевые показатели (индикаторы) и ожидаемые результаты муниципальных программ.</w:t>
      </w:r>
    </w:p>
    <w:p w:rsidR="00AC735A" w:rsidRDefault="00AC735A" w:rsidP="00AC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 кодексом Российской Федерации, Положением о бюджетном процессе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муниципальные программы подлежат приведению в соответствие с Решением  о местном  бюджете не позднее трех месяцев со дня вступления его в силу.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содержанию муниципальной  программы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Муниципальные  программы разрабатываются для достижения приоритетов и целей социально-экономического развития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исходя из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стратегии социально-экономического развития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муниципальных программах, основных направлений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.</w:t>
      </w:r>
    </w:p>
    <w:p w:rsidR="00AC735A" w:rsidRDefault="00AC735A" w:rsidP="00AC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целевых показателей (индикаторов) муниципальной программы должны формироваться с учетом параметров прогноза социально-экономического развития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</w:p>
    <w:p w:rsidR="00AC735A" w:rsidRDefault="00AC735A" w:rsidP="00AC7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 а также иные инструменты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влияющие на достижение результатов муниципальной 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>8. Муниципальная программа содержит: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паспорт муниципальной  программы по форме согласно приложению;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характеристику текущего состояния соответствующей сферы социально-экономического развития 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приоритеты и цели муниципальной  политики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прогноз конечных результатов муниципальной 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сроки реализации муниципальной  программы в целом, контрольные этапы и сроки их реализации с указанием промежуточных показателей;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перечень основных мероприятий муниципальной  программы с указанием сроков их реализации и ожидаемых результатов, а также иных сведений в соответствии с методическими указаниями по разработке и реализации муниципальных программ, которые разрабатываются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и утверждаются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нормативных правовых актов;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перечень и краткое описание подпрограмм;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перечень целевых индикаторов и показателей муниципальной  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муниципальной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обоснование состава и значений соответствующих целевых индикаторов и показателей муниципальных программ по этапам ее реализации и оценка влияния внешних факторов и условий на их достижение;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информацию по ресурсному обеспечению за счет средств местного бюджета муниципальной программы (с расшифровкой по главным распорядителям средств местного бюджета, основным мероприятиям подпрограмм, а также по годам реализации муниципальной  программы);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методику оценки эффективности муниципальной 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Сведения, составляющие государственную тайну, и сведения конфиденциального характера приводятся в отдельных приложениях к муниципальной  программе.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Помимо информации, указанной в пункте настоящего Порядка, муниципальная программа может содержать: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по этапам реализации государственной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использования налоговых, тарифных, кредитных и иных инструментов - обоснование необходимости их применения для достижения цели и (или) конечных результатов муниципальной  программы с финансовой оценкой по этапам ее реализации;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в случае участия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в реализации муниципальной программы  Курской области - информацию о прогнозных расходах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перечень реализуемых  мероприятий;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 участия в реализации муниципальной  программы предприятий и организаций, независимо от их организационно-правовой формы и формы собственности,  - соответствующую информацию, включая данные о прогнозных расходах указанных предприятий и организаций на реализацию муниципальной  программы.</w:t>
      </w:r>
    </w:p>
    <w:p w:rsidR="00AC735A" w:rsidRDefault="00AC735A" w:rsidP="00AC7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-сведения о порядке сбора информации и методике расчета показателей (индикаторов) муниципальной программы;</w:t>
      </w:r>
    </w:p>
    <w:p w:rsidR="00AC735A" w:rsidRDefault="00AC735A" w:rsidP="00AC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целевых группах (физические и юридические лица), на которые направлено действие муниципальной программы, и обоснование их выделения;</w:t>
      </w:r>
    </w:p>
    <w:p w:rsidR="00AC735A" w:rsidRDefault="00AC735A" w:rsidP="00AC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объемах бюджетных ассигнований по источникам финансирования дефицита местного бюджета, направляемых на реализацию мероприятий муниципальной программы;</w:t>
      </w:r>
    </w:p>
    <w:p w:rsidR="00AC735A" w:rsidRDefault="00AC735A" w:rsidP="00AC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-дополнительные сведения по подпрограммам муниципальной 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Требования к содержанию, порядку разработки и реализации  ведомственных целевых программ, включенных в подпрограмму, определяются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Целевые индикаторы и показатели муниципальной  программы должны количественно характеризовать ход ее реализации, решение основных задач и достижение целей муниципальной  программы, а также: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отражать специфику развития конкретной сферы, проблем и основных задач, на решение которых направлена реализация муниципальной 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иметь количественное значение;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непосредственно зависеть от решения основных задач и реализации муниципальной 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отвечать иным требованиям, определяемым в соответствии с методическими указаниями.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В перечень целевых индикаторов и показателей муниципальной  программы подлежат включению показатели, значения которых удовлетворяют одному из следующих условий: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рассчитываются по методикам, принятым международными организациями;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определяются на основе данных государственного (федерального) статистического наблюдения, в том числе в разрезе муниципальных образований (групп муниципальных образований);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рассчитываются по методикам, включенным в состав муниципальной  программы.</w:t>
      </w:r>
    </w:p>
    <w:p w:rsidR="00AC735A" w:rsidRDefault="00AC735A" w:rsidP="00AC7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расчетов), и позволять рассчитывать на основе этих показателей целевые показатели (индикаторы), установленные в документах стратегического планирования.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Отражение в муниципальной  программе расходов на ее реализацию осуществляется в соответствии с методическими указаниями.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Муниципальной  программой может быть предусмотрено предоставление субсидий из вышестоящих бюджетов  бюджету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на реализацию муниципальных программ, направленных на достижение целей, соответствующих муниципальной  программе.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указанных субсидий устанавливается соответствующей программой.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 участия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 государственной  программе Курской области направленной на достижение целей, реализация которых предусматривает участие муниципальных образований Курской области в рамках их полномочий, муниципальная программа также содержит: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обоснование состава и значений целевых индикаторов и показателей муниципальной  программы, характеризующих достижение конечных результатов по этапам ее реализации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обоснование мер по координации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прогнозируемый объем расходов местного бюджета на реализацию  муниципальной  программы с оценкой его влияния на достижение целей и конечных результатов муниципальной 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Оценка планируемой эффективности муниципальной 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 программы в социально-экономическое развитие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Обязательным условием оценки планируемой эффективности муниципальной  программы является успешное (полное) выполнение запланированных на период ее реализации целевых индикаторов и показателей муниципальной  программы, а также мероприятий в установленные сроки. В качестве основных критериев планируемой эффективности реализации муниципальной  программы применяются: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критерии экономической эффективности, учитывающие оценку вклада муниципальной  программы в экономическое развитие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в целом, оценку влияния ожидаемых результатов муниципальной программы на различные сферы экономики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могут включать как прямые (непосредственные) эффекты от реализации муниципальной  программы, так и косвенные (внешние) эффекты, возникающие в сопряженных секторах экономики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критерии социальной эффективности, учитывающие ожидаемый вклад реализации муниципальной  программы в социальное развитие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района, показатели которого не могут быть выражены в стоимостной оценке.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Основание и этапы разработки муниципальной  программы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Разработка муниципальных программ осуществляется на основании перечня муниципальных программ, утверждаемого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перечня муниципальных программ формируется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основании государственных программ Российской Федерации, законов Курской области,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муниципальных программ производится по решению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до 5 сентября  текущего финансового года.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Перечень муниципальных программ содержит: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наименования  муниципальных  программ;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наименования ответственных исполнителей, соисполнителей и участников муниципальных программ и подпрограмм;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основные направления реализации муниципальных программ.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Разработка проекта муниципальной  программы производится ответственным исполнителем совместно с соисполнителями и участниками в соответствии с методическими указаниями.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Проект муниципальной программы подлежит обязательному согласованию с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(отделом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материалов, представляемых с проектом муниципальной  программы, определяется в соответствии с методическими указаниями.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 направляется проект муниципальной  программы, согласованный всеми соисполнителями. В случае если проект муниципальной программы не согласован соисполнителями, к нему также прилагаются замечания соисполнителей и протоколы согласительных совещаний, проведенных 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муниципальной  программы согласовывают проект муниципальной  программы в части, касающейся реализуемых ими основных мероприятий (мероприятий) и (или) ведомственных целевых программ.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21.1. Проект муниципальной  программы подлежит обязательному предварительному общественному обсуждению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Оценку проекта муниципальной  программы осуществляют в установленной сфере деятельности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</w:t>
      </w:r>
    </w:p>
    <w:p w:rsidR="00AC735A" w:rsidRDefault="00AC735A" w:rsidP="00AC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рассмотрению в порядке, установленном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C735A" w:rsidRDefault="00AC735A" w:rsidP="00AC7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Финансово-экономическая экспертиза проектов муниципальных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о внесении изменений в муниципальные программы осуществляется контрольно-счетным органом (Ревизионной комиссией)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C735A" w:rsidRDefault="00AC735A" w:rsidP="00AC7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финансово-экономическая экспертиза проектов муниципальных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о внесении изменений в муниципальные программы, может осуществляться Контрольно-счетным органом Представительного Собрания «Курский район» на основе Соглашения заключенного с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Основные параметры утвержденных муниципальных программ подлежат отражению в прогнозе социально-экономического развития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на среднесрочный период.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обеспечение реализации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Финансовое обеспечение реализации муниципальных программ в части расходных обязательств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осуществляется за счет бюджетных ассигнований местного бюджета. Распределение бюджетных ассигнований местного бюджета на реализацию муниципальных программ (подпрограмм) утверждается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местном бюджете на очередной финансовый год и плановый период.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Внесение изменений в муниципальные программы осуществляется одновременно с подготовкой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о внесении изменений в местный бюджет в соответствии с бюджетным законодательством.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Финансирование ведомственных целевых программ, включенных в состав подпрограмм, осуществляется в порядке и за счет средств, которые предусмотрены для ведомственных целевых программ.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ассигнований, а также с учетом реализации муниципальных программ за предыдущий год.</w:t>
      </w:r>
    </w:p>
    <w:p w:rsidR="00AC735A" w:rsidRDefault="00AC735A" w:rsidP="00AC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исполнения местного бюджета 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 программы, в пределах и по основаниям, предусмотренным бюджетным законодательством Российской Федерации для внесения изменений в сводную бюджетную роспись местного бюджета и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Управление и контроль реализации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Текущее управление реализацией и реализация ведомственных целевых программ, включенных в подпрограмму, осуществляется в порядке, установленном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ведомственной целевой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Реализация муниципальной  программы осуществляется в соответствии с планом реализации муниципальной  программы (далее - план реализации), разрабатываемым на очередной финансовый год и плановый период и утверждается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до 15 марта.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разрабатывается в соответствии с методическими указаниями.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30. Ответственный исполнитель ежегодно, не позднее 1 декабря текущего финансового года, направляет согласованный с соисполнителями проект плана реализации с указанием исполнителей, обеспечивающих реализацию соответствующих мероприятий,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 в течение 10 дней со дня получения плана реализации направляют ответственному исполнителю свои заключения.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4"/>
      <w:bookmarkEnd w:id="3"/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направляет проект плана реализации вместе с заключениями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 не позднее 20 декабря текущего финансового года 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5"/>
      <w:bookmarkEnd w:id="4"/>
      <w:r>
        <w:rPr>
          <w:rFonts w:ascii="Times New Roman" w:hAnsi="Times New Roman" w:cs="Times New Roman"/>
          <w:sz w:val="28"/>
          <w:szCs w:val="28"/>
        </w:rPr>
        <w:t xml:space="preserve">План реализации утверждается актом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 программы ответственный исполнитель вправе по согласованию с соисполнителями и Главой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Федерации, Курской области,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в объемы бюджетных ассигнований на реализацию мероприятий в пределах утвержденных лимитов бюджетных ассигнований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реализацию муниципальной  программы в целом.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ответственным исполнителем при условии, что планируемые изменения не оказывают влияние на параметры муниципальной  программы, утвержденные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приведут к ухудшению плановых значений целевых индикаторов и показателей муниципальной  программы, а также к увеличению сроков исполнения основных мероприятий муниципальной 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внесении изменений в план реализации ответственный исполнитель в 10-дневный срок со дня утверждения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решения уведомляет о нем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  в течение 10 дней со дня получения указанного уведомления направляют ответственному исполнителю свои заключения о наличии либо об отсутствии влияния изменений плана реализации на основные параметры муниципальной 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изменения в план реализации оказывают влияние на основные параметры муниципальной  программы, внесение изменений в план реализации осуществляется в установленном Порядке.</w:t>
      </w:r>
    </w:p>
    <w:p w:rsidR="00AC735A" w:rsidRDefault="00AC735A" w:rsidP="00AC7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31.1. В целях обеспечения эффективного мониторинга и контроля реализации мероприятий муниципальной  программы ответственный исполнитель одновременно с планом реализации муниципальной  программы разрабатывает детальный план-график реализации муниципальной  программы на очередной финансовый год и плановый период (далее - детальный план-график). Детальный план-график разрабатывается в соответствии с методическими указаниями. «указаниями и содержит перечень мероприятий и контрольных событий государственной программы с указанием их сроков и ожидаемых результатов, а также бюджетных ассигнований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Согласованный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детальный план-график утверждается ответственным исполнителем муниципальной программы. Внесение изменений в детальный план-график осуществляется по согласованию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(отделом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Годовой отчет о ходе реализации и оценке эффективности муниципальной  программы (далее - годовой отчет) подготавливается ответственным исполнителем совместно с соисполнителями до 1 марта года, следующего за отчетным, и направляется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годового отчета производится в соответствии с методическими указаниями.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 Годовой отчет содержит: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конкретные результаты, достигнутые за отчетный период;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анализ факторов, повлиявших на ход реализации муниципальной 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 о внесенных ответственным исполнителем изменениях в муниципальную программу;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иную информацию в соответствии с методическими указаниями.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-оценку эффективности муниципальных программ.</w:t>
      </w:r>
    </w:p>
    <w:p w:rsidR="00AC735A" w:rsidRDefault="00AC735A" w:rsidP="00AC7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-предложения об изменении форм и методов управления реализацией муниципальной программы, о сокращении (увеличении) финансирования и (или) корректировке, досрочном прекращении основных мероприятий или муниципальной программы в целом;</w:t>
      </w:r>
    </w:p>
    <w:p w:rsidR="00AC735A" w:rsidRDefault="00AC735A" w:rsidP="00AC73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Форма годового отчета утверждается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район)  в 20-дневный срок со дня получения от ответственного исполнителя годового отчета направляют свои заключения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Доклад ответственного исполнителя о ходе реализации муниципальной  программы при необходимости по предложению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 заслушивается на заседании Администрации Курской области в соответствии с решением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В месячный срок до дня рассмотрения доклада ответственного исполнителя о ходе реализации муниципальной  программы ответственный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направляет соответствующие материалы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указанным материалам определяются в соответствии с методическими рекомендациями. 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14 дней до дня рассмотрения вопроса готовит заключения на материалы ответственного исполнителя.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в срок до 1 марта года, следующего за отчетным годом, готовит информацию о кассовых расходах местного бюджета на реализацию муниципальных программ.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ежегодно, до 1 апреля года, следующего за отчетным, разрабатывает и представляет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сводный годовой доклад о ходе реализации и оценке эффективности муниципальных программ, который содержит: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об основных результатах реализации муниципальных программ за отчетный период;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выполнении расходных обязательств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связанных с реализацией муниципальных  программ;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оценку деятельности ответственного исполнителя в части, касающейся реализации муниципальных программ;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необходимости - предложения об изменении форм и методов управления реализацией муниципальной  программы, о сокращении (увеличении) финансирования и (или) досрочном прекращении отдельных мероприятий или муниципальной  программы в целом.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Годовой отчет подлежит размещению на официальном сайте 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"Интернет"</w:t>
      </w:r>
      <w:r w:rsidR="008508E5">
        <w:rPr>
          <w:rFonts w:ascii="Times New Roman" w:hAnsi="Times New Roman" w:cs="Times New Roman"/>
          <w:sz w:val="28"/>
          <w:szCs w:val="28"/>
        </w:rPr>
        <w:t xml:space="preserve"> в течение 7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оценке эффективности муниципальных программ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"Интернет"</w:t>
      </w:r>
      <w:r w:rsidR="008508E5">
        <w:rPr>
          <w:rFonts w:ascii="Times New Roman" w:hAnsi="Times New Roman" w:cs="Times New Roman"/>
          <w:sz w:val="28"/>
          <w:szCs w:val="28"/>
        </w:rPr>
        <w:t xml:space="preserve"> в течение 7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В целях контроля реализации муниципальных программ 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постоянной основе осуществляет мониторинг реализации муниципальных программ ответственным исполнителем и соисполнителями. Порядок проведения указанного мониторинга определяется в соответствии с методическими указаниями.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готовит  ежеквартально, до 15-го числа месяца, следующего за отчетным кварталом, необходимую для проведения мониторинга реализации муниципальных программ в части финансового обеспечения, включающую данные о запланированных объемах бюджетных ассигнований за счет местного бюджета на текущий год;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профинансированных объемах бюджетных ассигнований за счет средств местного  бюджета за отчетный период, кассовых расходах местного бюджета за отчетный период по муниципальным программам, подпрограммам муниципальных программ, ведомственным целевым программам.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Результаты мониторинга реализации муниципальных программ рассматриваются на заседании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не менее 2 раз в год.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Координация исполнения и предварительное рассмотрение результатов мониторинга реализации муниципальных программ осуществляется заместителем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По результатам оценки эффективности муниципальной  программы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 начиная с очередного финансового года.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46. Внесение изменений в ведомственные целевые программы, включенные в подпрограммы, осуществляется в порядке, установленном для ведомственных целевых программ.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местного бюджета в части расходов, направляемых на финансирование муниципальных программ,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в соответствии с действующим законодательством.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Внесение иных изменений в муниципальную  программу, оказывающих влияние на параметры муниципальной  программы, утвержденные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ответственного исполнителя либо во исполнение поручения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), в том числе по результатам мониторинга реализации муниципальных программ, в порядке, предусмотренном для утверждения проектов муниципальных программ (за исключением установленных для утверждения проектов муниципальных программ сроков).</w:t>
      </w:r>
    </w:p>
    <w:p w:rsidR="008508E5" w:rsidRDefault="008508E5" w:rsidP="00AC735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Полномочия ответственного исполнителя, соисполнителей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участников муниципальной программы при разработке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реализации муниципальных программ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Ответственный исполнитель: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формирует структуру муниципальной  программы, а также перечень соисполнителей и участников муниципальной 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обеспечивает разработку муниципальной  программы, ее согласование с соисполнителями и внесение в установленном порядке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для рассмотрения ее на заседании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организует реализацию муниципальной 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 программы, а также конечных результатов ее реализации;</w:t>
      </w:r>
      <w:proofErr w:type="gramEnd"/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предоставляет по сведения, необходимые для проведения мониторинга реализации муниципальной 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запрашивает у соисполнителей и участников муниципальной  программы необходимую информацию;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проводит оценку эффективности мероприятий муниципальной  программы в соответствии с методическими указаниями;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запрашивает у соисполнителей и участников муниципальной  программы информацию, необходимую для проведения оценки эффективности муниципальной  программы и подготовки годового отчета;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рекомендует соисполнителям и участникам государственной программы осуществить разработку отдельных мероприятий и планов, в том числе в форме ведомственной целевой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подготавливает годовой отчет и представляет его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Соисполнители: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обеспечивают разработку и реализацию подпрограммы (подпрограмм), согласование проекта муниципальной 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осуществляют реализацию мероприятий муниципальной  программы в рамках своей компетенции;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запрашивают у участников муниципальной 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отчета;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представляют в установленный срок ответственному исполнителю необходимую информацию для подготовки ответов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отчет о ходе реализации мероприятий муниципальной 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представляют ответственному исполнителю информацию,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необходимую для проведения оценки эффективности муниципальной  программы и подготовки годового отчета;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 контрактам в рамках реализации мероприятий муниципальной 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Участники муниципальной  программы: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осуществляют реализацию мероприятий муниципальной  программы в рамках своей компетенции;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представляют ответственному исполнителю и соисполнителю предложения при разработке муниципальной  программы в части мероприятий муниципальной  программы, в реализации которых предполагается их участие;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представляют ответственному исполнителю и соисполнителю необходимую информацию для подготовки ответов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(отдел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района), а также отчет о ходе реализации мероприятий муниципальной  программы;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представляют ответственному исполнителю и соисполнителю информацию, необходимую для проведения оценки эффективности муниципальной  программы и подготовки годового отчета;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представляют ответственному исполнителю и соисполнителю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 программы.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C735A" w:rsidRDefault="00AC735A" w:rsidP="00AC73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 разработки, реализации и оценки</w:t>
      </w:r>
    </w:p>
    <w:p w:rsidR="00AC735A" w:rsidRDefault="00AC735A" w:rsidP="00AC73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</w:t>
      </w:r>
    </w:p>
    <w:p w:rsidR="00AC735A" w:rsidRDefault="00AC735A" w:rsidP="00AC73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C735A" w:rsidRDefault="00AC735A" w:rsidP="00AC73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74"/>
      <w:bookmarkEnd w:id="5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C735A" w:rsidRDefault="00AC735A" w:rsidP="00AC7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 программы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Ответственный исполнитель</w:t>
      </w: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Соисполнители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Участники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Подпрограммы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Программно-целевые инструменты</w:t>
      </w: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Цели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Задачи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Целевые индикаторы и показатели</w:t>
      </w: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Этапы и сроки реализации</w:t>
      </w: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Объемы бюджетных ассигнований</w:t>
      </w: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программы</w:t>
      </w:r>
    </w:p>
    <w:p w:rsidR="00AC735A" w:rsidRDefault="00AC735A" w:rsidP="00AC735A">
      <w:pPr>
        <w:pStyle w:val="ConsPlusCell"/>
        <w:rPr>
          <w:sz w:val="28"/>
          <w:szCs w:val="28"/>
        </w:rPr>
      </w:pP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Ожидаемые результаты реализации</w:t>
      </w:r>
    </w:p>
    <w:p w:rsidR="00AC735A" w:rsidRDefault="00AC735A" w:rsidP="00AC735A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 xml:space="preserve">    программы</w:t>
      </w: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rPr>
          <w:rFonts w:ascii="Times New Roman" w:hAnsi="Times New Roman" w:cs="Times New Roman"/>
          <w:sz w:val="28"/>
          <w:szCs w:val="28"/>
        </w:rPr>
      </w:pPr>
    </w:p>
    <w:p w:rsidR="00AC735A" w:rsidRDefault="00AC735A" w:rsidP="00AC735A">
      <w:pPr>
        <w:rPr>
          <w:rFonts w:ascii="Times New Roman" w:hAnsi="Times New Roman" w:cs="Times New Roman"/>
          <w:sz w:val="28"/>
          <w:szCs w:val="28"/>
        </w:rPr>
      </w:pPr>
    </w:p>
    <w:p w:rsidR="007547DB" w:rsidRDefault="007547DB"/>
    <w:sectPr w:rsidR="0075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35A"/>
    <w:rsid w:val="005E4507"/>
    <w:rsid w:val="00682C3F"/>
    <w:rsid w:val="007547DB"/>
    <w:rsid w:val="008508E5"/>
    <w:rsid w:val="00AC735A"/>
    <w:rsid w:val="00B47B4A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7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C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2019-07-24T13:32:00Z</dcterms:created>
  <dcterms:modified xsi:type="dcterms:W3CDTF">2019-07-24T13:40:00Z</dcterms:modified>
</cp:coreProperties>
</file>